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D732" w14:textId="05A2EDE0" w:rsidR="00B63ECF" w:rsidRPr="003F227D" w:rsidRDefault="00B63ECF" w:rsidP="00B63ECF">
      <w:pPr>
        <w:pStyle w:val="NoSpacing"/>
        <w:rPr>
          <w:b/>
          <w:color w:val="000000" w:themeColor="text1"/>
        </w:rPr>
      </w:pPr>
      <w:proofErr w:type="gramStart"/>
      <w:r w:rsidRPr="003F227D">
        <w:rPr>
          <w:b/>
          <w:color w:val="000000" w:themeColor="text1"/>
          <w:highlight w:val="lightGray"/>
        </w:rPr>
        <w:t>Grijs :</w:t>
      </w:r>
      <w:proofErr w:type="gramEnd"/>
      <w:r w:rsidRPr="003F227D">
        <w:rPr>
          <w:b/>
          <w:color w:val="000000" w:themeColor="text1"/>
          <w:highlight w:val="lightGray"/>
        </w:rPr>
        <w:t xml:space="preserve"> bijzondere alinea’s bij consumenten-opdrachtgevers</w:t>
      </w:r>
    </w:p>
    <w:p w14:paraId="5F2AA632" w14:textId="06EFC2B7" w:rsidR="00B63ECF" w:rsidRPr="003F227D" w:rsidRDefault="00B63ECF" w:rsidP="00B63ECF">
      <w:pPr>
        <w:pStyle w:val="NoSpacing"/>
        <w:rPr>
          <w:b/>
          <w:color w:val="00B050"/>
        </w:rPr>
      </w:pPr>
      <w:r w:rsidRPr="003F227D">
        <w:rPr>
          <w:b/>
          <w:color w:val="00B050"/>
        </w:rPr>
        <w:t>Groen: optionele teksten</w:t>
      </w:r>
    </w:p>
    <w:p w14:paraId="222B22E8" w14:textId="77777777" w:rsidR="00B63ECF" w:rsidRPr="00B63ECF" w:rsidRDefault="00B63ECF" w:rsidP="00B63ECF">
      <w:pPr>
        <w:pStyle w:val="NoSpacing"/>
        <w:rPr>
          <w:b/>
          <w:sz w:val="18"/>
          <w:szCs w:val="18"/>
        </w:rPr>
      </w:pPr>
    </w:p>
    <w:p w14:paraId="2D1B2DFC" w14:textId="7DB481D6" w:rsidR="000D49DB" w:rsidRPr="00860A62" w:rsidRDefault="000D49DB" w:rsidP="000D49DB">
      <w:pPr>
        <w:pStyle w:val="NoSpacing"/>
        <w:jc w:val="center"/>
        <w:rPr>
          <w:b/>
          <w:sz w:val="40"/>
          <w:szCs w:val="32"/>
        </w:rPr>
      </w:pPr>
      <w:r w:rsidRPr="00860A62">
        <w:rPr>
          <w:b/>
          <w:sz w:val="40"/>
          <w:szCs w:val="32"/>
        </w:rPr>
        <w:t xml:space="preserve">Overeenkomst van </w:t>
      </w:r>
      <w:r w:rsidR="00875583">
        <w:rPr>
          <w:b/>
          <w:sz w:val="40"/>
          <w:szCs w:val="32"/>
        </w:rPr>
        <w:t xml:space="preserve">intellectuele </w:t>
      </w:r>
      <w:r w:rsidRPr="00860A62">
        <w:rPr>
          <w:b/>
          <w:sz w:val="40"/>
          <w:szCs w:val="32"/>
        </w:rPr>
        <w:t>diensten</w:t>
      </w:r>
      <w:r w:rsidR="00875583">
        <w:rPr>
          <w:b/>
          <w:sz w:val="40"/>
          <w:szCs w:val="32"/>
        </w:rPr>
        <w:t xml:space="preserve"> in de bouw</w:t>
      </w:r>
    </w:p>
    <w:p w14:paraId="7262C57D" w14:textId="77777777" w:rsidR="00875583" w:rsidRPr="001A3FE2" w:rsidRDefault="00875583" w:rsidP="001A3FE2">
      <w:pPr>
        <w:pStyle w:val="Heading1"/>
        <w:rPr>
          <w:lang w:val="nl-BE"/>
        </w:rPr>
      </w:pPr>
      <w:r w:rsidRPr="001A3FE2">
        <w:rPr>
          <w:lang w:val="nl-BE"/>
        </w:rPr>
        <w:t>Identiteit van de Dienstverlener</w:t>
      </w:r>
    </w:p>
    <w:p w14:paraId="523F4305" w14:textId="57B71A6A" w:rsidR="00875583" w:rsidRPr="006C7978" w:rsidRDefault="00875583" w:rsidP="006C7978">
      <w:pPr>
        <w:tabs>
          <w:tab w:val="left" w:pos="2835"/>
        </w:tabs>
        <w:rPr>
          <w:lang w:val="fr-BE"/>
        </w:rPr>
      </w:pPr>
      <w:bookmarkStart w:id="0" w:name="_Hlk503774319"/>
      <w:r w:rsidRPr="006C7978">
        <w:rPr>
          <w:lang w:val="fr-BE"/>
        </w:rPr>
        <w:t>Naam:</w:t>
      </w:r>
    </w:p>
    <w:p w14:paraId="5FFB0556" w14:textId="679D715F" w:rsidR="00875583" w:rsidRPr="006C7978" w:rsidRDefault="00875583" w:rsidP="006C7978">
      <w:pPr>
        <w:tabs>
          <w:tab w:val="left" w:pos="2835"/>
        </w:tabs>
      </w:pPr>
      <w:r w:rsidRPr="006C7978">
        <w:t xml:space="preserve">Juridische vorm: </w:t>
      </w:r>
      <w:r w:rsidRPr="006C7978">
        <w:tab/>
      </w:r>
    </w:p>
    <w:p w14:paraId="3C088B02" w14:textId="1E13332A" w:rsidR="00875583" w:rsidRPr="006C7978" w:rsidRDefault="00875583" w:rsidP="006C7978">
      <w:pPr>
        <w:tabs>
          <w:tab w:val="left" w:pos="2835"/>
        </w:tabs>
      </w:pPr>
      <w:r w:rsidRPr="006C7978">
        <w:t>Adres:</w:t>
      </w:r>
      <w:r w:rsidRPr="006C7978">
        <w:tab/>
      </w:r>
      <w:r w:rsidR="00216C3C" w:rsidRPr="006C7978">
        <w:tab/>
      </w:r>
      <w:r w:rsidR="00216C3C" w:rsidRPr="006C7978">
        <w:tab/>
      </w:r>
      <w:r w:rsidR="00216C3C" w:rsidRPr="006C7978">
        <w:tab/>
      </w:r>
    </w:p>
    <w:p w14:paraId="2EC9B29B" w14:textId="619E8A14" w:rsidR="00875583" w:rsidRPr="006C7978" w:rsidRDefault="00875583" w:rsidP="006C7978">
      <w:pPr>
        <w:tabs>
          <w:tab w:val="left" w:pos="2835"/>
        </w:tabs>
      </w:pPr>
      <w:r w:rsidRPr="006C7978">
        <w:t>Telefoon:</w:t>
      </w:r>
      <w:r w:rsidRPr="006C7978">
        <w:tab/>
      </w:r>
      <w:r w:rsidR="00216C3C" w:rsidRPr="006C7978">
        <w:tab/>
      </w:r>
      <w:r w:rsidR="00216C3C" w:rsidRPr="006C7978">
        <w:tab/>
      </w:r>
    </w:p>
    <w:p w14:paraId="416E91B2" w14:textId="6BE89F57" w:rsidR="00875583" w:rsidRPr="006C7978" w:rsidRDefault="00875583" w:rsidP="006C7978">
      <w:pPr>
        <w:tabs>
          <w:tab w:val="left" w:pos="2835"/>
        </w:tabs>
      </w:pPr>
      <w:r w:rsidRPr="006C7978">
        <w:t xml:space="preserve">E-mail: </w:t>
      </w:r>
      <w:r w:rsidRPr="006C7978">
        <w:tab/>
      </w:r>
      <w:r w:rsidR="00216C3C" w:rsidRPr="006C7978">
        <w:tab/>
      </w:r>
      <w:r w:rsidR="00216C3C" w:rsidRPr="006C7978">
        <w:tab/>
      </w:r>
      <w:r w:rsidR="00C13AF8" w:rsidRPr="006C7978">
        <w:tab/>
      </w:r>
    </w:p>
    <w:p w14:paraId="49D842B7" w14:textId="5635CC48" w:rsidR="00875583" w:rsidRPr="006C7978" w:rsidRDefault="00875583" w:rsidP="006C7978">
      <w:pPr>
        <w:tabs>
          <w:tab w:val="left" w:pos="2835"/>
        </w:tabs>
      </w:pPr>
      <w:r w:rsidRPr="006C7978">
        <w:t>Website:</w:t>
      </w:r>
      <w:r w:rsidRPr="006C7978">
        <w:tab/>
      </w:r>
      <w:r w:rsidR="00216C3C" w:rsidRPr="006C7978">
        <w:tab/>
      </w:r>
      <w:r w:rsidR="00216C3C" w:rsidRPr="006C7978">
        <w:tab/>
      </w:r>
    </w:p>
    <w:p w14:paraId="08843349" w14:textId="68EAD3C6" w:rsidR="00875583" w:rsidRPr="006C7978" w:rsidRDefault="00875583" w:rsidP="006C7978">
      <w:pPr>
        <w:tabs>
          <w:tab w:val="left" w:pos="2835"/>
        </w:tabs>
      </w:pPr>
      <w:r w:rsidRPr="006C7978">
        <w:t xml:space="preserve">Ondernemingsnummer: </w:t>
      </w:r>
      <w:r w:rsidRPr="006C7978">
        <w:tab/>
      </w:r>
    </w:p>
    <w:bookmarkEnd w:id="0"/>
    <w:p w14:paraId="4C799E48" w14:textId="473ADAE0" w:rsidR="00875583" w:rsidRPr="006C7978" w:rsidRDefault="00875583" w:rsidP="006C7978">
      <w:pPr>
        <w:tabs>
          <w:tab w:val="left" w:pos="2835"/>
        </w:tabs>
      </w:pPr>
      <w:r w:rsidRPr="006C7978">
        <w:t>Professionele titel(s):</w:t>
      </w:r>
      <w:r w:rsidRPr="006C7978">
        <w:tab/>
      </w:r>
    </w:p>
    <w:p w14:paraId="70BA09EB" w14:textId="13CB492B" w:rsidR="00875583" w:rsidRPr="006C7978" w:rsidRDefault="00875583" w:rsidP="006C7978">
      <w:pPr>
        <w:tabs>
          <w:tab w:val="left" w:pos="2835"/>
        </w:tabs>
      </w:pPr>
      <w:r w:rsidRPr="006C7978">
        <w:t>Land van toekenning van de titel:</w:t>
      </w:r>
      <w:r w:rsidRPr="006C7978">
        <w:tab/>
      </w:r>
    </w:p>
    <w:p w14:paraId="2C1B6D70" w14:textId="31B9F658" w:rsidR="00875583" w:rsidRPr="006C7978" w:rsidRDefault="00875583" w:rsidP="006C7978">
      <w:pPr>
        <w:tabs>
          <w:tab w:val="left" w:pos="2835"/>
        </w:tabs>
      </w:pPr>
      <w:r w:rsidRPr="006C7978">
        <w:t>Beroepsorganisatie:</w:t>
      </w:r>
      <w:r w:rsidRPr="006C7978">
        <w:tab/>
        <w:t xml:space="preserve"> </w:t>
      </w:r>
    </w:p>
    <w:p w14:paraId="33423F46" w14:textId="2EB45799" w:rsidR="00875583" w:rsidRPr="006C7978" w:rsidRDefault="00875583" w:rsidP="006C7978">
      <w:pPr>
        <w:tabs>
          <w:tab w:val="left" w:pos="2835"/>
        </w:tabs>
      </w:pPr>
      <w:r w:rsidRPr="006C7978">
        <w:t>De dienstverlener is onderworpen aan de deontologische code van …</w:t>
      </w:r>
    </w:p>
    <w:p w14:paraId="0F823540" w14:textId="53E48172" w:rsidR="00875583" w:rsidRPr="006C7978" w:rsidRDefault="00DE2385" w:rsidP="006C7978">
      <w:pPr>
        <w:tabs>
          <w:tab w:val="left" w:pos="2835"/>
        </w:tabs>
      </w:pPr>
      <w:r>
        <w:t>Die</w:t>
      </w:r>
      <w:r w:rsidR="00875583" w:rsidRPr="006C7978">
        <w:t xml:space="preserve"> is beschikbaar op </w:t>
      </w:r>
      <w:r>
        <w:t>diens</w:t>
      </w:r>
      <w:r w:rsidR="00875583" w:rsidRPr="006C7978">
        <w:t xml:space="preserve"> website …</w:t>
      </w:r>
    </w:p>
    <w:p w14:paraId="372638C8" w14:textId="31F42876" w:rsidR="00875583" w:rsidRPr="006C7978" w:rsidRDefault="00875583" w:rsidP="006C7978">
      <w:pPr>
        <w:tabs>
          <w:tab w:val="left" w:pos="2835"/>
        </w:tabs>
      </w:pPr>
      <w:r w:rsidRPr="006C7978">
        <w:t xml:space="preserve">De informatie over </w:t>
      </w:r>
      <w:r w:rsidR="00E324B7" w:rsidRPr="006C7978">
        <w:t>d</w:t>
      </w:r>
      <w:r w:rsidRPr="006C7978">
        <w:t xml:space="preserve">e onderneming is in overeenstemming met het Wetboek Economisch </w:t>
      </w:r>
      <w:r w:rsidR="00E324B7" w:rsidRPr="006C7978">
        <w:t>R</w:t>
      </w:r>
      <w:r w:rsidRPr="006C7978">
        <w:t>echt artikel III-74 tot 79 en artikel XII- 6 en 7.</w:t>
      </w:r>
    </w:p>
    <w:p w14:paraId="4C9C5666" w14:textId="1A240778" w:rsidR="006C7978" w:rsidRDefault="00216C3C" w:rsidP="00875583">
      <w:pPr>
        <w:pStyle w:val="NoSpacing"/>
        <w:rPr>
          <w:b/>
          <w:bCs/>
          <w:lang w:val="nl-BE"/>
        </w:rPr>
      </w:pPr>
      <w:r w:rsidRPr="00C13AF8">
        <w:rPr>
          <w:lang w:val="nl-BE"/>
        </w:rPr>
        <w:t xml:space="preserve">Hierna genoemd </w:t>
      </w:r>
      <w:r w:rsidRPr="00C13AF8">
        <w:rPr>
          <w:b/>
          <w:bCs/>
          <w:lang w:val="nl-BE"/>
        </w:rPr>
        <w:t>“Dienstverlener”</w:t>
      </w:r>
    </w:p>
    <w:p w14:paraId="2139DB8D" w14:textId="77777777" w:rsidR="00875583" w:rsidRPr="001A3FE2" w:rsidRDefault="00875583" w:rsidP="001A3FE2">
      <w:pPr>
        <w:pStyle w:val="Heading1"/>
        <w:rPr>
          <w:lang w:val="nl-BE"/>
        </w:rPr>
      </w:pPr>
      <w:r w:rsidRPr="001A3FE2">
        <w:rPr>
          <w:lang w:val="nl-BE"/>
        </w:rPr>
        <w:t>Identiteit van de Opdrachtgever</w:t>
      </w:r>
    </w:p>
    <w:p w14:paraId="778402B6" w14:textId="498D69E9" w:rsidR="000D49DB" w:rsidRPr="00216C3C" w:rsidRDefault="000D49DB" w:rsidP="000D49DB">
      <w:pPr>
        <w:pStyle w:val="NoSpacing"/>
        <w:rPr>
          <w:sz w:val="24"/>
          <w:szCs w:val="24"/>
          <w:highlight w:val="lightGray"/>
        </w:rPr>
      </w:pPr>
      <w:r w:rsidRPr="00216C3C">
        <w:rPr>
          <w:sz w:val="24"/>
          <w:szCs w:val="24"/>
          <w:highlight w:val="lightGray"/>
        </w:rPr>
        <w:t xml:space="preserve">De </w:t>
      </w:r>
      <w:proofErr w:type="gramStart"/>
      <w:r w:rsidRPr="00216C3C">
        <w:rPr>
          <w:sz w:val="24"/>
          <w:szCs w:val="24"/>
          <w:highlight w:val="lightGray"/>
        </w:rPr>
        <w:t>heer</w:t>
      </w:r>
      <w:r w:rsidR="006C7978">
        <w:rPr>
          <w:sz w:val="24"/>
          <w:szCs w:val="24"/>
          <w:highlight w:val="lightGray"/>
        </w:rPr>
        <w:t xml:space="preserve"> /</w:t>
      </w:r>
      <w:proofErr w:type="gramEnd"/>
      <w:r w:rsidR="006C7978">
        <w:rPr>
          <w:sz w:val="24"/>
          <w:szCs w:val="24"/>
          <w:highlight w:val="lightGray"/>
        </w:rPr>
        <w:t xml:space="preserve"> Mevrouw / De heer en mevrouw</w:t>
      </w:r>
      <w:r w:rsidR="006C7978">
        <w:rPr>
          <w:sz w:val="24"/>
          <w:szCs w:val="24"/>
          <w:highlight w:val="lightGray"/>
        </w:rPr>
        <w:br/>
      </w:r>
      <w:r w:rsidRPr="00216C3C">
        <w:rPr>
          <w:sz w:val="24"/>
          <w:szCs w:val="24"/>
          <w:highlight w:val="lightGray"/>
        </w:rPr>
        <w:t>Woon</w:t>
      </w:r>
      <w:r w:rsidR="006C7978">
        <w:rPr>
          <w:sz w:val="24"/>
          <w:szCs w:val="24"/>
          <w:highlight w:val="lightGray"/>
        </w:rPr>
        <w:t xml:space="preserve">achtig te </w:t>
      </w:r>
    </w:p>
    <w:p w14:paraId="1B87B048" w14:textId="76947ADD" w:rsidR="00875583" w:rsidRPr="00216C3C" w:rsidRDefault="00F460F8" w:rsidP="000D49DB">
      <w:pPr>
        <w:pStyle w:val="NoSpacing"/>
        <w:rPr>
          <w:iCs/>
          <w:sz w:val="24"/>
          <w:szCs w:val="24"/>
          <w:highlight w:val="lightGray"/>
        </w:rPr>
      </w:pPr>
      <w:r w:rsidRPr="00216C3C">
        <w:rPr>
          <w:iCs/>
          <w:sz w:val="24"/>
          <w:szCs w:val="24"/>
          <w:highlight w:val="lightGray"/>
        </w:rPr>
        <w:t>E</w:t>
      </w:r>
      <w:r w:rsidR="006C7978">
        <w:rPr>
          <w:iCs/>
          <w:sz w:val="24"/>
          <w:szCs w:val="24"/>
          <w:highlight w:val="lightGray"/>
        </w:rPr>
        <w:t>-</w:t>
      </w:r>
      <w:r w:rsidRPr="00216C3C">
        <w:rPr>
          <w:iCs/>
          <w:sz w:val="24"/>
          <w:szCs w:val="24"/>
          <w:highlight w:val="lightGray"/>
        </w:rPr>
        <w:t>mail:</w:t>
      </w:r>
      <w:r w:rsidR="006C7978">
        <w:rPr>
          <w:iCs/>
          <w:sz w:val="24"/>
          <w:szCs w:val="24"/>
          <w:highlight w:val="lightGray"/>
        </w:rPr>
        <w:br/>
      </w:r>
      <w:r w:rsidR="006C7978">
        <w:rPr>
          <w:sz w:val="24"/>
          <w:szCs w:val="24"/>
          <w:highlight w:val="lightGray"/>
          <w:lang w:val="nl-BE"/>
        </w:rPr>
        <w:t>D</w:t>
      </w:r>
      <w:r w:rsidR="006C7978" w:rsidRPr="00216C3C">
        <w:rPr>
          <w:sz w:val="24"/>
          <w:szCs w:val="24"/>
          <w:highlight w:val="lightGray"/>
        </w:rPr>
        <w:t>ie handelen in het kader van hun privéleven</w:t>
      </w:r>
    </w:p>
    <w:p w14:paraId="06182CA5" w14:textId="586E9CEF" w:rsidR="00F460F8" w:rsidRDefault="00F460F8" w:rsidP="000D49DB">
      <w:pPr>
        <w:pStyle w:val="NoSpacing"/>
        <w:rPr>
          <w:iCs/>
          <w:sz w:val="24"/>
          <w:szCs w:val="24"/>
        </w:rPr>
      </w:pPr>
    </w:p>
    <w:p w14:paraId="2C1FD5BB" w14:textId="54EDACC9" w:rsidR="00B47B00" w:rsidRPr="00B47B00" w:rsidRDefault="00B47B00" w:rsidP="000D49DB">
      <w:pPr>
        <w:pStyle w:val="NoSpacing"/>
        <w:rPr>
          <w:iCs/>
          <w:color w:val="00B050"/>
          <w:sz w:val="24"/>
          <w:szCs w:val="24"/>
        </w:rPr>
      </w:pPr>
      <w:r w:rsidRPr="00B47B00">
        <w:rPr>
          <w:iCs/>
          <w:color w:val="00B050"/>
          <w:sz w:val="24"/>
          <w:szCs w:val="24"/>
        </w:rPr>
        <w:t>OF</w:t>
      </w:r>
    </w:p>
    <w:p w14:paraId="1543B852" w14:textId="77777777" w:rsidR="00B47B00" w:rsidRDefault="00B47B00" w:rsidP="000D49DB">
      <w:pPr>
        <w:pStyle w:val="NoSpacing"/>
        <w:rPr>
          <w:iCs/>
          <w:sz w:val="24"/>
          <w:szCs w:val="24"/>
        </w:rPr>
      </w:pPr>
    </w:p>
    <w:p w14:paraId="20A8AC5B" w14:textId="2237DEA5" w:rsidR="00C13AF8" w:rsidRDefault="00C13AF8" w:rsidP="000D49DB">
      <w:pPr>
        <w:pStyle w:val="NoSpacing"/>
        <w:rPr>
          <w:iCs/>
          <w:sz w:val="24"/>
          <w:szCs w:val="24"/>
        </w:rPr>
      </w:pPr>
      <w:r>
        <w:rPr>
          <w:iCs/>
          <w:sz w:val="24"/>
          <w:szCs w:val="24"/>
        </w:rPr>
        <w:t>De onderneming:</w:t>
      </w:r>
      <w:r w:rsidR="007257C5">
        <w:rPr>
          <w:iCs/>
          <w:sz w:val="24"/>
          <w:szCs w:val="24"/>
        </w:rPr>
        <w:t xml:space="preserve"> </w:t>
      </w:r>
      <w:r w:rsidR="007257C5" w:rsidRPr="00310099">
        <w:rPr>
          <w:i/>
          <w:color w:val="000000" w:themeColor="text1"/>
          <w:lang w:val="fr-BE"/>
        </w:rPr>
        <w:fldChar w:fldCharType="begin">
          <w:ffData>
            <w:name w:val="Texte7"/>
            <w:enabled/>
            <w:calcOnExit w:val="0"/>
            <w:textInput/>
          </w:ffData>
        </w:fldChar>
      </w:r>
      <w:bookmarkStart w:id="1" w:name="Texte7"/>
      <w:r w:rsidR="007257C5" w:rsidRPr="007257C5">
        <w:rPr>
          <w:i/>
          <w:color w:val="000000" w:themeColor="text1"/>
          <w:lang w:val="nl-BE"/>
        </w:rPr>
        <w:instrText xml:space="preserve"> FORMTEXT </w:instrText>
      </w:r>
      <w:r w:rsidR="007257C5" w:rsidRPr="00310099">
        <w:rPr>
          <w:i/>
          <w:color w:val="000000" w:themeColor="text1"/>
          <w:lang w:val="fr-BE"/>
        </w:rPr>
      </w:r>
      <w:r w:rsidR="007257C5" w:rsidRPr="00310099">
        <w:rPr>
          <w:i/>
          <w:color w:val="000000" w:themeColor="text1"/>
          <w:lang w:val="fr-BE"/>
        </w:rPr>
        <w:fldChar w:fldCharType="separate"/>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fldChar w:fldCharType="end"/>
      </w:r>
      <w:bookmarkEnd w:id="1"/>
      <w:r>
        <w:rPr>
          <w:iCs/>
          <w:sz w:val="24"/>
          <w:szCs w:val="24"/>
        </w:rPr>
        <w:br/>
      </w:r>
      <w:r w:rsidR="007257C5">
        <w:rPr>
          <w:iCs/>
          <w:sz w:val="24"/>
          <w:szCs w:val="24"/>
        </w:rPr>
        <w:t>KBO-nummer</w:t>
      </w:r>
      <w:r>
        <w:rPr>
          <w:iCs/>
          <w:sz w:val="24"/>
          <w:szCs w:val="24"/>
        </w:rPr>
        <w:t xml:space="preserve">: </w:t>
      </w:r>
      <w:r w:rsidR="007257C5" w:rsidRPr="00310099">
        <w:rPr>
          <w:i/>
          <w:color w:val="000000" w:themeColor="text1"/>
          <w:lang w:val="fr-BE"/>
        </w:rPr>
        <w:fldChar w:fldCharType="begin">
          <w:ffData>
            <w:name w:val="Texte7"/>
            <w:enabled/>
            <w:calcOnExit w:val="0"/>
            <w:textInput/>
          </w:ffData>
        </w:fldChar>
      </w:r>
      <w:r w:rsidR="007257C5" w:rsidRPr="007257C5">
        <w:rPr>
          <w:i/>
          <w:color w:val="000000" w:themeColor="text1"/>
          <w:lang w:val="nl-BE"/>
        </w:rPr>
        <w:instrText xml:space="preserve"> FORMTEXT </w:instrText>
      </w:r>
      <w:r w:rsidR="007257C5" w:rsidRPr="00310099">
        <w:rPr>
          <w:i/>
          <w:color w:val="000000" w:themeColor="text1"/>
          <w:lang w:val="fr-BE"/>
        </w:rPr>
      </w:r>
      <w:r w:rsidR="007257C5" w:rsidRPr="00310099">
        <w:rPr>
          <w:i/>
          <w:color w:val="000000" w:themeColor="text1"/>
          <w:lang w:val="fr-BE"/>
        </w:rPr>
        <w:fldChar w:fldCharType="separate"/>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fldChar w:fldCharType="end"/>
      </w:r>
    </w:p>
    <w:p w14:paraId="70D8A339" w14:textId="3FE2C74A" w:rsidR="007257C5" w:rsidRPr="00F460F8" w:rsidRDefault="007257C5" w:rsidP="000D49DB">
      <w:pPr>
        <w:pStyle w:val="NoSpacing"/>
        <w:rPr>
          <w:iCs/>
          <w:sz w:val="24"/>
          <w:szCs w:val="24"/>
        </w:rPr>
      </w:pPr>
      <w:r>
        <w:rPr>
          <w:iCs/>
          <w:sz w:val="24"/>
          <w:szCs w:val="24"/>
        </w:rPr>
        <w:t xml:space="preserve">Met maatschappelijke zetel in: </w:t>
      </w:r>
      <w:r w:rsidRPr="00310099">
        <w:rPr>
          <w:i/>
          <w:color w:val="000000" w:themeColor="text1"/>
          <w:lang w:val="fr-BE"/>
        </w:rPr>
        <w:fldChar w:fldCharType="begin">
          <w:ffData>
            <w:name w:val="Texte7"/>
            <w:enabled/>
            <w:calcOnExit w:val="0"/>
            <w:textInput/>
          </w:ffData>
        </w:fldChar>
      </w:r>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p>
    <w:p w14:paraId="241F6020" w14:textId="77777777" w:rsidR="00F460F8" w:rsidRPr="007257C5" w:rsidRDefault="00F460F8" w:rsidP="00875583">
      <w:pPr>
        <w:pStyle w:val="NoSpacing"/>
        <w:rPr>
          <w:iCs/>
          <w:vanish/>
          <w:sz w:val="24"/>
          <w:szCs w:val="24"/>
        </w:rPr>
      </w:pPr>
    </w:p>
    <w:p w14:paraId="60BEE743" w14:textId="20136BE8" w:rsidR="00875583" w:rsidRPr="007257C5" w:rsidRDefault="00875583" w:rsidP="00875583">
      <w:pPr>
        <w:pStyle w:val="NoSpacing"/>
        <w:rPr>
          <w:iCs/>
          <w:vanish/>
          <w:sz w:val="24"/>
          <w:szCs w:val="24"/>
        </w:rPr>
      </w:pPr>
      <w:r w:rsidRPr="007257C5">
        <w:rPr>
          <w:iCs/>
          <w:vanish/>
          <w:sz w:val="24"/>
          <w:szCs w:val="24"/>
        </w:rPr>
        <w:t>De vennootschap</w:t>
      </w:r>
    </w:p>
    <w:p w14:paraId="3DDF144B" w14:textId="075AB37A" w:rsidR="000D49DB" w:rsidRPr="007257C5" w:rsidRDefault="00C13AF8" w:rsidP="00875583">
      <w:pPr>
        <w:pStyle w:val="NoSpacing"/>
        <w:rPr>
          <w:iCs/>
          <w:sz w:val="24"/>
          <w:szCs w:val="24"/>
        </w:rPr>
      </w:pPr>
      <w:r w:rsidRPr="007257C5">
        <w:rPr>
          <w:iCs/>
          <w:sz w:val="24"/>
          <w:szCs w:val="24"/>
          <w:lang w:val="nl-BE"/>
        </w:rPr>
        <w:t>Vertegenwoordigd doo</w:t>
      </w:r>
      <w:r w:rsidR="007257C5" w:rsidRPr="007257C5">
        <w:rPr>
          <w:iCs/>
          <w:sz w:val="24"/>
          <w:szCs w:val="24"/>
          <w:lang w:val="nl-BE"/>
        </w:rPr>
        <w:t xml:space="preserve">r </w:t>
      </w:r>
      <w:r w:rsidR="007257C5" w:rsidRPr="00310099">
        <w:rPr>
          <w:i/>
          <w:color w:val="000000" w:themeColor="text1"/>
          <w:lang w:val="fr-BE"/>
        </w:rPr>
        <w:fldChar w:fldCharType="begin">
          <w:ffData>
            <w:name w:val="Texte7"/>
            <w:enabled/>
            <w:calcOnExit w:val="0"/>
            <w:textInput/>
          </w:ffData>
        </w:fldChar>
      </w:r>
      <w:r w:rsidR="007257C5" w:rsidRPr="007257C5">
        <w:rPr>
          <w:i/>
          <w:color w:val="000000" w:themeColor="text1"/>
          <w:lang w:val="nl-BE"/>
        </w:rPr>
        <w:instrText xml:space="preserve"> FORMTEXT </w:instrText>
      </w:r>
      <w:r w:rsidR="007257C5" w:rsidRPr="00310099">
        <w:rPr>
          <w:i/>
          <w:color w:val="000000" w:themeColor="text1"/>
          <w:lang w:val="fr-BE"/>
        </w:rPr>
      </w:r>
      <w:r w:rsidR="007257C5" w:rsidRPr="00310099">
        <w:rPr>
          <w:i/>
          <w:color w:val="000000" w:themeColor="text1"/>
          <w:lang w:val="fr-BE"/>
        </w:rPr>
        <w:fldChar w:fldCharType="separate"/>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fldChar w:fldCharType="end"/>
      </w:r>
      <w:r w:rsidR="007257C5" w:rsidRPr="007257C5">
        <w:rPr>
          <w:iCs/>
          <w:sz w:val="24"/>
          <w:szCs w:val="24"/>
          <w:lang w:val="nl-BE"/>
        </w:rPr>
        <w:t xml:space="preserve"> </w:t>
      </w:r>
      <w:r w:rsidRPr="007257C5">
        <w:rPr>
          <w:iCs/>
          <w:sz w:val="24"/>
          <w:szCs w:val="24"/>
          <w:lang w:val="nl-BE"/>
        </w:rPr>
        <w:t xml:space="preserve">in </w:t>
      </w:r>
      <w:r w:rsidR="007257C5" w:rsidRPr="007257C5">
        <w:rPr>
          <w:iCs/>
          <w:sz w:val="24"/>
          <w:szCs w:val="24"/>
          <w:lang w:val="nl-BE"/>
        </w:rPr>
        <w:t>zijn/haar/</w:t>
      </w:r>
      <w:r w:rsidRPr="007257C5">
        <w:rPr>
          <w:iCs/>
          <w:sz w:val="24"/>
          <w:szCs w:val="24"/>
          <w:lang w:val="nl-BE"/>
        </w:rPr>
        <w:t xml:space="preserve">hun hoedanigheid van </w:t>
      </w:r>
      <w:r w:rsidR="007257C5" w:rsidRPr="00310099">
        <w:rPr>
          <w:i/>
          <w:color w:val="000000" w:themeColor="text1"/>
          <w:lang w:val="fr-BE"/>
        </w:rPr>
        <w:fldChar w:fldCharType="begin">
          <w:ffData>
            <w:name w:val="Texte7"/>
            <w:enabled/>
            <w:calcOnExit w:val="0"/>
            <w:textInput/>
          </w:ffData>
        </w:fldChar>
      </w:r>
      <w:r w:rsidR="007257C5" w:rsidRPr="007257C5">
        <w:rPr>
          <w:i/>
          <w:color w:val="000000" w:themeColor="text1"/>
          <w:lang w:val="nl-BE"/>
        </w:rPr>
        <w:instrText xml:space="preserve"> FORMTEXT </w:instrText>
      </w:r>
      <w:r w:rsidR="007257C5" w:rsidRPr="00310099">
        <w:rPr>
          <w:i/>
          <w:color w:val="000000" w:themeColor="text1"/>
          <w:lang w:val="fr-BE"/>
        </w:rPr>
      </w:r>
      <w:r w:rsidR="007257C5" w:rsidRPr="00310099">
        <w:rPr>
          <w:i/>
          <w:color w:val="000000" w:themeColor="text1"/>
          <w:lang w:val="fr-BE"/>
        </w:rPr>
        <w:fldChar w:fldCharType="separate"/>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t> </w:t>
      </w:r>
      <w:r w:rsidR="007257C5" w:rsidRPr="00310099">
        <w:rPr>
          <w:i/>
          <w:color w:val="000000" w:themeColor="text1"/>
          <w:lang w:val="fr-BE"/>
        </w:rPr>
        <w:fldChar w:fldCharType="end"/>
      </w:r>
      <w:r w:rsidRPr="007257C5">
        <w:rPr>
          <w:iCs/>
          <w:vanish/>
          <w:sz w:val="24"/>
          <w:szCs w:val="24"/>
          <w:lang w:val="nl-BE"/>
        </w:rPr>
        <w:t xml:space="preserve"> </w:t>
      </w:r>
      <w:r w:rsidR="00875583" w:rsidRPr="007257C5">
        <w:rPr>
          <w:iCs/>
          <w:vanish/>
          <w:sz w:val="24"/>
          <w:szCs w:val="24"/>
          <w:lang w:val="nl-BE"/>
        </w:rPr>
        <w:t xml:space="preserve">vertegenwoordigd door </w:t>
      </w:r>
    </w:p>
    <w:p w14:paraId="2F3684CE" w14:textId="25F52B9D" w:rsidR="00C13AF8" w:rsidRPr="007257C5" w:rsidRDefault="007257C5" w:rsidP="00875583">
      <w:pPr>
        <w:pStyle w:val="NoSpacing"/>
        <w:rPr>
          <w:iCs/>
          <w:sz w:val="24"/>
          <w:szCs w:val="24"/>
        </w:rPr>
      </w:pPr>
      <w:r w:rsidRPr="007257C5">
        <w:rPr>
          <w:iCs/>
          <w:sz w:val="24"/>
          <w:szCs w:val="24"/>
        </w:rPr>
        <w:t>Rijksregisternummer</w:t>
      </w:r>
      <w:r w:rsidR="00C13AF8" w:rsidRPr="007257C5">
        <w:rPr>
          <w:iCs/>
          <w:sz w:val="24"/>
          <w:szCs w:val="24"/>
        </w:rPr>
        <w:t>:</w:t>
      </w:r>
      <w:r>
        <w:rPr>
          <w:iCs/>
          <w:sz w:val="24"/>
          <w:szCs w:val="24"/>
        </w:rPr>
        <w:t xml:space="preserve"> </w:t>
      </w:r>
      <w:r w:rsidRPr="00310099">
        <w:rPr>
          <w:i/>
          <w:color w:val="000000" w:themeColor="text1"/>
          <w:lang w:val="fr-BE"/>
        </w:rPr>
        <w:fldChar w:fldCharType="begin">
          <w:ffData>
            <w:name w:val="Texte7"/>
            <w:enabled/>
            <w:calcOnExit w:val="0"/>
            <w:textInput/>
          </w:ffData>
        </w:fldChar>
      </w:r>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p>
    <w:p w14:paraId="33A5BE5F" w14:textId="16E32339" w:rsidR="007257C5" w:rsidRPr="007257C5" w:rsidRDefault="007257C5" w:rsidP="00875583">
      <w:pPr>
        <w:pStyle w:val="NoSpacing"/>
        <w:rPr>
          <w:iCs/>
          <w:sz w:val="24"/>
          <w:szCs w:val="24"/>
        </w:rPr>
      </w:pPr>
      <w:r w:rsidRPr="007257C5">
        <w:rPr>
          <w:iCs/>
          <w:sz w:val="24"/>
          <w:szCs w:val="24"/>
        </w:rPr>
        <w:t xml:space="preserve">E-mail: </w:t>
      </w:r>
      <w:r w:rsidRPr="00310099">
        <w:rPr>
          <w:i/>
          <w:color w:val="000000" w:themeColor="text1"/>
          <w:lang w:val="fr-BE"/>
        </w:rPr>
        <w:fldChar w:fldCharType="begin">
          <w:ffData>
            <w:name w:val="Texte7"/>
            <w:enabled/>
            <w:calcOnExit w:val="0"/>
            <w:textInput/>
          </w:ffData>
        </w:fldChar>
      </w:r>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p>
    <w:p w14:paraId="2BE0FBD0" w14:textId="77777777" w:rsidR="000D49DB" w:rsidRPr="00181A5E" w:rsidRDefault="000D49DB" w:rsidP="000D49DB">
      <w:pPr>
        <w:pStyle w:val="NoSpacing"/>
        <w:rPr>
          <w:sz w:val="24"/>
          <w:szCs w:val="24"/>
        </w:rPr>
      </w:pPr>
    </w:p>
    <w:p w14:paraId="38654B74" w14:textId="77777777" w:rsidR="007257C5" w:rsidRDefault="007257C5">
      <w:pPr>
        <w:rPr>
          <w:b/>
          <w:bCs/>
          <w:sz w:val="28"/>
          <w:szCs w:val="28"/>
          <w:lang w:val="nl-NL"/>
        </w:rPr>
      </w:pPr>
      <w:r>
        <w:rPr>
          <w:b/>
          <w:bCs/>
          <w:sz w:val="28"/>
          <w:szCs w:val="28"/>
        </w:rPr>
        <w:br w:type="page"/>
      </w:r>
    </w:p>
    <w:p w14:paraId="10677886" w14:textId="210C6DDF" w:rsidR="000D49DB" w:rsidRPr="00C13AF8" w:rsidRDefault="00875583" w:rsidP="000D49DB">
      <w:pPr>
        <w:pStyle w:val="NoSpacing"/>
        <w:rPr>
          <w:b/>
          <w:bCs/>
          <w:sz w:val="28"/>
          <w:szCs w:val="28"/>
        </w:rPr>
      </w:pPr>
      <w:r w:rsidRPr="00C13AF8">
        <w:rPr>
          <w:b/>
          <w:bCs/>
          <w:sz w:val="28"/>
          <w:szCs w:val="28"/>
        </w:rPr>
        <w:lastRenderedPageBreak/>
        <w:t>D</w:t>
      </w:r>
      <w:r w:rsidR="000D49DB" w:rsidRPr="00C13AF8">
        <w:rPr>
          <w:b/>
          <w:bCs/>
          <w:sz w:val="28"/>
          <w:szCs w:val="28"/>
        </w:rPr>
        <w:t>e Partijen</w:t>
      </w:r>
      <w:r w:rsidRPr="00C13AF8">
        <w:rPr>
          <w:b/>
          <w:bCs/>
          <w:sz w:val="28"/>
          <w:szCs w:val="28"/>
        </w:rPr>
        <w:t xml:space="preserve"> komen het volgende</w:t>
      </w:r>
      <w:r w:rsidR="000D49DB" w:rsidRPr="00C13AF8">
        <w:rPr>
          <w:b/>
          <w:bCs/>
          <w:sz w:val="28"/>
          <w:szCs w:val="28"/>
        </w:rPr>
        <w:t xml:space="preserve"> overeen:</w:t>
      </w:r>
    </w:p>
    <w:p w14:paraId="6C87731C" w14:textId="64E72E87" w:rsidR="000D49DB" w:rsidRPr="00AC22F6" w:rsidRDefault="000D49DB" w:rsidP="000D49DB">
      <w:pPr>
        <w:pStyle w:val="Heading1"/>
        <w:numPr>
          <w:ilvl w:val="0"/>
          <w:numId w:val="1"/>
        </w:numPr>
        <w:rPr>
          <w:lang w:val="nl-NL"/>
        </w:rPr>
      </w:pPr>
      <w:bookmarkStart w:id="2" w:name="_Toc479848131"/>
      <w:r w:rsidRPr="00AC22F6">
        <w:rPr>
          <w:lang w:val="nl-NL"/>
        </w:rPr>
        <w:t>V</w:t>
      </w:r>
      <w:r w:rsidR="00216C3C">
        <w:rPr>
          <w:lang w:val="nl-NL"/>
        </w:rPr>
        <w:t>oorwerp van de overeenkomst</w:t>
      </w:r>
      <w:bookmarkEnd w:id="2"/>
    </w:p>
    <w:p w14:paraId="2357EF7C" w14:textId="4DF56ACC" w:rsidR="000D49DB" w:rsidRPr="00C13AF8" w:rsidRDefault="000D49DB" w:rsidP="00B71E50">
      <w:pPr>
        <w:pStyle w:val="NoSpacing"/>
        <w:jc w:val="both"/>
      </w:pPr>
      <w:r w:rsidRPr="00C13AF8">
        <w:t xml:space="preserve">De Opdrachtgever wenst in het kader van zijn </w:t>
      </w:r>
      <w:r w:rsidRPr="00C13AF8">
        <w:rPr>
          <w:highlight w:val="lightGray"/>
        </w:rPr>
        <w:t>privéleven</w:t>
      </w:r>
      <w:r w:rsidR="008D404D">
        <w:t>/</w:t>
      </w:r>
      <w:r w:rsidRPr="00C13AF8">
        <w:rPr>
          <w:i/>
          <w:color w:val="00B050"/>
        </w:rPr>
        <w:t>beroepsactiviteit</w:t>
      </w:r>
      <w:r w:rsidRPr="00C13AF8">
        <w:t xml:space="preserve"> een beroep te doen op de Dienstverlener om </w:t>
      </w:r>
      <w:r w:rsidR="00AE2687" w:rsidRPr="00C13AF8">
        <w:t>de opdracht volgens artikel 3 uit te voeren met betrekking tot het in artikel 2</w:t>
      </w:r>
      <w:r w:rsidRPr="00C13AF8">
        <w:t xml:space="preserve"> beschreven onroerend goed, tegen betaling van </w:t>
      </w:r>
      <w:r w:rsidR="00875583" w:rsidRPr="00C13AF8">
        <w:t xml:space="preserve">een </w:t>
      </w:r>
      <w:r w:rsidR="00E324B7" w:rsidRPr="00C13AF8">
        <w:rPr>
          <w:lang w:val="nl-BE"/>
        </w:rPr>
        <w:t xml:space="preserve">in artikel 4 bepaalde </w:t>
      </w:r>
      <w:r w:rsidR="00875583" w:rsidRPr="00C13AF8">
        <w:t>vergoeding</w:t>
      </w:r>
      <w:r w:rsidRPr="00C13AF8">
        <w:t xml:space="preserve">. </w:t>
      </w:r>
    </w:p>
    <w:p w14:paraId="5A14725A" w14:textId="77777777" w:rsidR="00875583" w:rsidRPr="00C13AF8" w:rsidRDefault="00875583" w:rsidP="00B71E50">
      <w:pPr>
        <w:pStyle w:val="NoSpacing"/>
        <w:jc w:val="both"/>
      </w:pPr>
    </w:p>
    <w:p w14:paraId="44A3415C" w14:textId="290A0D27" w:rsidR="00875583" w:rsidRDefault="00875583" w:rsidP="00B71E50">
      <w:pPr>
        <w:pStyle w:val="NoSpacing"/>
        <w:jc w:val="both"/>
      </w:pPr>
      <w:r w:rsidRPr="00C13AF8">
        <w:t>Met uitsluiting van elke andere tekst bevat deze overeenkomst de verbintenissen van beide partijen.</w:t>
      </w:r>
    </w:p>
    <w:p w14:paraId="0DAE00F5" w14:textId="77777777" w:rsidR="00BD45E8" w:rsidRPr="00C13AF8" w:rsidRDefault="00BD45E8" w:rsidP="00B71E50">
      <w:pPr>
        <w:pStyle w:val="NoSpacing"/>
        <w:jc w:val="both"/>
      </w:pPr>
    </w:p>
    <w:p w14:paraId="2A76DABA" w14:textId="7B534B3C" w:rsidR="00875583" w:rsidRPr="00B47B00" w:rsidRDefault="00875583" w:rsidP="00875583">
      <w:pPr>
        <w:pStyle w:val="NoSpacing"/>
        <w:jc w:val="both"/>
        <w:rPr>
          <w:color w:val="00B050"/>
        </w:rPr>
      </w:pPr>
      <w:r w:rsidRPr="00B47B00">
        <w:rPr>
          <w:color w:val="00B050"/>
        </w:rPr>
        <w:t xml:space="preserve">De Partijen hebben over de inhoud van deze overeenkomst onderhandeld en willen in deze schriftelijke overeenkomst de omvang van hun taken en aansprakelijkheid, de vergoeding en andere afspraken duidelijk vastleggen. Zij willen de opdracht in wederzijds vertrouwen en op professionele wijze realiseren. </w:t>
      </w:r>
    </w:p>
    <w:p w14:paraId="06C529C1" w14:textId="4D38B6E9" w:rsidR="000D49DB" w:rsidRPr="003255AE" w:rsidRDefault="00C4685F" w:rsidP="000D49DB">
      <w:pPr>
        <w:pStyle w:val="Heading1"/>
        <w:numPr>
          <w:ilvl w:val="0"/>
          <w:numId w:val="1"/>
        </w:numPr>
        <w:rPr>
          <w:lang w:val="nl-BE"/>
        </w:rPr>
      </w:pPr>
      <w:r w:rsidRPr="00C4685F">
        <w:rPr>
          <w:lang w:val="nl-BE"/>
        </w:rPr>
        <w:t>L</w:t>
      </w:r>
      <w:r w:rsidR="00216C3C">
        <w:rPr>
          <w:lang w:val="nl-BE"/>
        </w:rPr>
        <w:t>igging van het onroerend goed</w:t>
      </w:r>
    </w:p>
    <w:p w14:paraId="54DF894F" w14:textId="1A95CC01" w:rsidR="000D49DB" w:rsidRPr="00BD45E8" w:rsidRDefault="000D49DB" w:rsidP="00B71E50">
      <w:pPr>
        <w:pStyle w:val="NoSpacing"/>
      </w:pPr>
      <w:r w:rsidRPr="00BD45E8">
        <w:t>Het onroerend goed ligt op het adres (</w:t>
      </w:r>
      <w:r w:rsidRPr="00BD45E8">
        <w:rPr>
          <w:i/>
        </w:rPr>
        <w:t xml:space="preserve">straat – </w:t>
      </w:r>
      <w:proofErr w:type="spellStart"/>
      <w:r w:rsidRPr="00BD45E8">
        <w:rPr>
          <w:i/>
        </w:rPr>
        <w:t>nr</w:t>
      </w:r>
      <w:proofErr w:type="spellEnd"/>
      <w:r w:rsidRPr="00BD45E8">
        <w:rPr>
          <w:i/>
        </w:rPr>
        <w:t xml:space="preserve"> – land/postcode – gemeente</w:t>
      </w:r>
      <w:r w:rsidRPr="00BD45E8">
        <w:t xml:space="preserve">), en heeft een oppervlakte van </w:t>
      </w:r>
      <w:r w:rsidR="00433EB1" w:rsidRPr="00BD45E8">
        <w:t xml:space="preserve">ongeveer </w:t>
      </w:r>
      <w:r w:rsidR="00B47B00">
        <w:t>xxx</w:t>
      </w:r>
      <w:r w:rsidRPr="00BD45E8">
        <w:t xml:space="preserve"> m². </w:t>
      </w:r>
    </w:p>
    <w:p w14:paraId="70DF076A" w14:textId="77777777" w:rsidR="00B71E50" w:rsidRPr="00BD45E8" w:rsidRDefault="00B71E50" w:rsidP="00B71E50">
      <w:pPr>
        <w:pStyle w:val="NoSpacing"/>
      </w:pPr>
    </w:p>
    <w:p w14:paraId="0134318C" w14:textId="6F731396" w:rsidR="000D49DB" w:rsidRPr="00BD45E8" w:rsidRDefault="000D49DB" w:rsidP="00B71E50">
      <w:pPr>
        <w:pStyle w:val="NoSpacing"/>
      </w:pPr>
      <w:r w:rsidRPr="00BD45E8">
        <w:t xml:space="preserve">De Opdrachtgever is </w:t>
      </w:r>
      <w:r w:rsidRPr="00BD45E8">
        <w:rPr>
          <w:i/>
          <w:color w:val="00B050"/>
        </w:rPr>
        <w:t>eigenaar/vruchtgebruiker</w:t>
      </w:r>
      <w:r w:rsidR="00412546" w:rsidRPr="00BD45E8">
        <w:rPr>
          <w:i/>
          <w:color w:val="00B050"/>
        </w:rPr>
        <w:t xml:space="preserve"> </w:t>
      </w:r>
      <w:r w:rsidRPr="00BD45E8">
        <w:t xml:space="preserve">van het onroerend goed. </w:t>
      </w:r>
    </w:p>
    <w:p w14:paraId="5319F343" w14:textId="77777777" w:rsidR="00433EB1" w:rsidRPr="00BD45E8" w:rsidRDefault="00433EB1" w:rsidP="00B71E50">
      <w:pPr>
        <w:pStyle w:val="NoSpacing"/>
      </w:pPr>
    </w:p>
    <w:p w14:paraId="19952677" w14:textId="453052A2" w:rsidR="00433EB1" w:rsidRPr="00BD45E8" w:rsidRDefault="00433EB1" w:rsidP="00B71E50">
      <w:pPr>
        <w:pStyle w:val="NoSpacing"/>
        <w:rPr>
          <w:i/>
          <w:iCs/>
          <w:color w:val="00B050"/>
          <w:lang w:val="nl-BE"/>
        </w:rPr>
      </w:pPr>
      <w:r w:rsidRPr="00BD45E8">
        <w:rPr>
          <w:i/>
          <w:iCs/>
          <w:color w:val="00B050"/>
          <w:lang w:val="nl-BE"/>
        </w:rPr>
        <w:t xml:space="preserve">Op het onroerend goed zijn de bouwvoorschriften van </w:t>
      </w:r>
      <w:r w:rsidR="00AE2687" w:rsidRPr="00BD45E8">
        <w:rPr>
          <w:i/>
          <w:iCs/>
          <w:color w:val="00B050"/>
          <w:lang w:val="nl-BE"/>
        </w:rPr>
        <w:t xml:space="preserve">de </w:t>
      </w:r>
      <w:r w:rsidRPr="00BD45E8">
        <w:rPr>
          <w:i/>
          <w:iCs/>
          <w:color w:val="00B050"/>
          <w:lang w:val="nl-BE"/>
        </w:rPr>
        <w:t xml:space="preserve">Vlaamse Codex Ruimtelijke Ordening </w:t>
      </w:r>
      <w:r w:rsidR="00AE2687" w:rsidRPr="00BD45E8">
        <w:rPr>
          <w:i/>
          <w:iCs/>
          <w:color w:val="00B050"/>
          <w:lang w:val="nl-BE"/>
        </w:rPr>
        <w:t>–</w:t>
      </w:r>
      <w:r w:rsidRPr="00BD45E8">
        <w:rPr>
          <w:i/>
          <w:iCs/>
          <w:color w:val="00B050"/>
          <w:lang w:val="nl-BE"/>
        </w:rPr>
        <w:t xml:space="preserve"> </w:t>
      </w:r>
      <w:r w:rsidR="00AE2687" w:rsidRPr="00BD45E8">
        <w:rPr>
          <w:i/>
          <w:iCs/>
          <w:color w:val="00B050"/>
          <w:lang w:val="nl-BE"/>
        </w:rPr>
        <w:t xml:space="preserve">het </w:t>
      </w:r>
      <w:r w:rsidRPr="00BD45E8">
        <w:rPr>
          <w:i/>
          <w:iCs/>
          <w:color w:val="00B050"/>
          <w:lang w:val="nl-BE"/>
        </w:rPr>
        <w:t>Brussels Wetboek van Ruimtelijke Ordening (</w:t>
      </w:r>
      <w:proofErr w:type="spellStart"/>
      <w:r w:rsidRPr="00BD45E8">
        <w:rPr>
          <w:i/>
          <w:iCs/>
          <w:color w:val="00B050"/>
          <w:lang w:val="nl-BE"/>
        </w:rPr>
        <w:t>CoBAT</w:t>
      </w:r>
      <w:proofErr w:type="spellEnd"/>
      <w:r w:rsidRPr="00BD45E8">
        <w:rPr>
          <w:i/>
          <w:iCs/>
          <w:color w:val="00B050"/>
          <w:lang w:val="nl-BE"/>
        </w:rPr>
        <w:t xml:space="preserve">) </w:t>
      </w:r>
      <w:r w:rsidR="00AE2687" w:rsidRPr="00BD45E8">
        <w:rPr>
          <w:i/>
          <w:iCs/>
          <w:color w:val="00B050"/>
          <w:lang w:val="nl-BE"/>
        </w:rPr>
        <w:t>–</w:t>
      </w:r>
      <w:r w:rsidRPr="00BD45E8">
        <w:rPr>
          <w:i/>
          <w:iCs/>
          <w:color w:val="00B050"/>
          <w:lang w:val="nl-BE"/>
        </w:rPr>
        <w:t xml:space="preserve"> </w:t>
      </w:r>
      <w:proofErr w:type="spellStart"/>
      <w:r w:rsidR="00AE2687" w:rsidRPr="00BD45E8">
        <w:rPr>
          <w:i/>
          <w:iCs/>
          <w:color w:val="00B050"/>
          <w:lang w:val="nl-BE"/>
        </w:rPr>
        <w:t>le</w:t>
      </w:r>
      <w:proofErr w:type="spellEnd"/>
      <w:r w:rsidR="00AE2687" w:rsidRPr="00BD45E8">
        <w:rPr>
          <w:i/>
          <w:iCs/>
          <w:color w:val="00B050"/>
          <w:lang w:val="nl-BE"/>
        </w:rPr>
        <w:t xml:space="preserve"> </w:t>
      </w:r>
      <w:r w:rsidRPr="00BD45E8">
        <w:rPr>
          <w:i/>
          <w:iCs/>
          <w:color w:val="00B050"/>
          <w:lang w:val="nl-BE"/>
        </w:rPr>
        <w:t xml:space="preserve">Code </w:t>
      </w:r>
      <w:proofErr w:type="spellStart"/>
      <w:r w:rsidRPr="00BD45E8">
        <w:rPr>
          <w:i/>
          <w:iCs/>
          <w:color w:val="00B050"/>
          <w:lang w:val="nl-BE"/>
        </w:rPr>
        <w:t>wallon</w:t>
      </w:r>
      <w:proofErr w:type="spellEnd"/>
      <w:r w:rsidRPr="00BD45E8">
        <w:rPr>
          <w:i/>
          <w:iCs/>
          <w:color w:val="00B050"/>
          <w:lang w:val="nl-BE"/>
        </w:rPr>
        <w:t xml:space="preserve"> du </w:t>
      </w:r>
      <w:proofErr w:type="spellStart"/>
      <w:r w:rsidRPr="00BD45E8">
        <w:rPr>
          <w:i/>
          <w:iCs/>
          <w:color w:val="00B050"/>
          <w:lang w:val="nl-BE"/>
        </w:rPr>
        <w:t>développement</w:t>
      </w:r>
      <w:proofErr w:type="spellEnd"/>
      <w:r w:rsidRPr="00BD45E8">
        <w:rPr>
          <w:i/>
          <w:iCs/>
          <w:color w:val="00B050"/>
          <w:lang w:val="nl-BE"/>
        </w:rPr>
        <w:t xml:space="preserve"> </w:t>
      </w:r>
      <w:proofErr w:type="spellStart"/>
      <w:r w:rsidRPr="00BD45E8">
        <w:rPr>
          <w:i/>
          <w:iCs/>
          <w:color w:val="00B050"/>
          <w:lang w:val="nl-BE"/>
        </w:rPr>
        <w:t>territorial</w:t>
      </w:r>
      <w:proofErr w:type="spellEnd"/>
      <w:r w:rsidRPr="00BD45E8">
        <w:rPr>
          <w:i/>
          <w:iCs/>
          <w:color w:val="00B050"/>
          <w:lang w:val="nl-BE"/>
        </w:rPr>
        <w:t xml:space="preserve"> (</w:t>
      </w:r>
      <w:proofErr w:type="spellStart"/>
      <w:r w:rsidRPr="00BD45E8">
        <w:rPr>
          <w:i/>
          <w:iCs/>
          <w:color w:val="00B050"/>
          <w:lang w:val="nl-BE"/>
        </w:rPr>
        <w:t>CoDT</w:t>
      </w:r>
      <w:proofErr w:type="spellEnd"/>
      <w:r w:rsidRPr="00BD45E8">
        <w:rPr>
          <w:i/>
          <w:iCs/>
          <w:color w:val="00B050"/>
          <w:lang w:val="nl-BE"/>
        </w:rPr>
        <w:t xml:space="preserve">) </w:t>
      </w:r>
      <w:r w:rsidR="00DE2385">
        <w:rPr>
          <w:i/>
          <w:iCs/>
          <w:color w:val="00B050"/>
          <w:lang w:val="nl-BE"/>
        </w:rPr>
        <w:t xml:space="preserve">van het </w:t>
      </w:r>
      <w:r w:rsidRPr="00BD45E8">
        <w:rPr>
          <w:i/>
          <w:iCs/>
          <w:color w:val="00B050"/>
          <w:lang w:val="nl-BE"/>
        </w:rPr>
        <w:t>Vlaamse/Brusselse/Waalse Gewest van toepassing, de stedenbouwkundige voorschriften, het Ruimtelijk Uitvoeringsplan en de verkavelingsvergunning xxx.</w:t>
      </w:r>
    </w:p>
    <w:p w14:paraId="4A5D8753" w14:textId="08406A6C" w:rsidR="000D49DB" w:rsidRPr="003E6A55" w:rsidRDefault="000D49DB" w:rsidP="000D49DB">
      <w:pPr>
        <w:pStyle w:val="Heading1"/>
        <w:numPr>
          <w:ilvl w:val="0"/>
          <w:numId w:val="1"/>
        </w:numPr>
        <w:rPr>
          <w:lang w:val="nl-NL"/>
        </w:rPr>
      </w:pPr>
      <w:bookmarkStart w:id="3" w:name="_Toc479848138"/>
      <w:r>
        <w:rPr>
          <w:lang w:val="nl-NL"/>
        </w:rPr>
        <w:t>O</w:t>
      </w:r>
      <w:r w:rsidR="00216C3C">
        <w:rPr>
          <w:lang w:val="nl-NL"/>
        </w:rPr>
        <w:t>pdracht van de Dienstverlener</w:t>
      </w:r>
      <w:bookmarkEnd w:id="3"/>
    </w:p>
    <w:p w14:paraId="65C286BC" w14:textId="17101639" w:rsidR="00433EB1" w:rsidRPr="00ED2051" w:rsidRDefault="000D49DB" w:rsidP="00B71E50">
      <w:pPr>
        <w:pStyle w:val="NoSpacing"/>
        <w:jc w:val="both"/>
        <w:rPr>
          <w:rFonts w:cs="Tahoma"/>
          <w:color w:val="00B050"/>
        </w:rPr>
      </w:pPr>
      <w:r w:rsidRPr="00ED2051">
        <w:rPr>
          <w:rFonts w:cs="Tahoma"/>
          <w:color w:val="00B050"/>
        </w:rPr>
        <w:t xml:space="preserve">De Opdracht </w:t>
      </w:r>
      <w:r w:rsidR="00433EB1" w:rsidRPr="00ED2051">
        <w:rPr>
          <w:rFonts w:cs="Tahoma"/>
          <w:color w:val="00B050"/>
        </w:rPr>
        <w:t xml:space="preserve">bestaat </w:t>
      </w:r>
      <w:r w:rsidR="00F5565A" w:rsidRPr="00ED2051">
        <w:rPr>
          <w:rFonts w:cs="Tahoma"/>
          <w:color w:val="00B050"/>
        </w:rPr>
        <w:t>uit:</w:t>
      </w:r>
    </w:p>
    <w:p w14:paraId="6C9D4532" w14:textId="5FEFA8DF" w:rsidR="00433EB1" w:rsidRPr="00F5565A" w:rsidRDefault="00433EB1" w:rsidP="00AE2687">
      <w:pPr>
        <w:pStyle w:val="NoSpacing"/>
        <w:numPr>
          <w:ilvl w:val="0"/>
          <w:numId w:val="7"/>
        </w:numPr>
        <w:rPr>
          <w:color w:val="00B050"/>
        </w:rPr>
      </w:pPr>
      <w:r w:rsidRPr="00F5565A">
        <w:rPr>
          <w:color w:val="00B050"/>
        </w:rPr>
        <w:t xml:space="preserve">De uitvoering van een </w:t>
      </w:r>
      <w:r w:rsidR="00CE3B5C" w:rsidRPr="00F5565A">
        <w:rPr>
          <w:color w:val="00B050"/>
        </w:rPr>
        <w:t xml:space="preserve">grondonderzoek, </w:t>
      </w:r>
      <w:r w:rsidRPr="00F5565A">
        <w:rPr>
          <w:color w:val="00B050"/>
        </w:rPr>
        <w:t>stabiliteitsstudie,</w:t>
      </w:r>
      <w:r w:rsidR="00CE3B5C" w:rsidRPr="00F5565A">
        <w:rPr>
          <w:color w:val="00B050"/>
        </w:rPr>
        <w:t xml:space="preserve"> en de studies m.b.t. speciale technieken</w:t>
      </w:r>
    </w:p>
    <w:p w14:paraId="127B38A3" w14:textId="77A47EBB" w:rsidR="002F33DC" w:rsidRPr="00F5565A" w:rsidRDefault="002F33DC" w:rsidP="00AE2687">
      <w:pPr>
        <w:pStyle w:val="NoSpacing"/>
        <w:numPr>
          <w:ilvl w:val="0"/>
          <w:numId w:val="7"/>
        </w:numPr>
        <w:rPr>
          <w:color w:val="00B050"/>
        </w:rPr>
      </w:pPr>
      <w:r w:rsidRPr="00F5565A">
        <w:rPr>
          <w:color w:val="00B050"/>
        </w:rPr>
        <w:t>De opmeting en begrenzing van het onroerend goed</w:t>
      </w:r>
    </w:p>
    <w:p w14:paraId="14600486" w14:textId="1C82C1F4" w:rsidR="00433EB1" w:rsidRPr="00F5565A" w:rsidRDefault="00433EB1" w:rsidP="00AE2687">
      <w:pPr>
        <w:pStyle w:val="NoSpacing"/>
        <w:numPr>
          <w:ilvl w:val="0"/>
          <w:numId w:val="7"/>
        </w:numPr>
        <w:rPr>
          <w:color w:val="00B050"/>
        </w:rPr>
      </w:pPr>
      <w:r w:rsidRPr="00F5565A">
        <w:rPr>
          <w:color w:val="00B050"/>
        </w:rPr>
        <w:t xml:space="preserve">De EPB-studie en </w:t>
      </w:r>
      <w:r w:rsidR="009970E5">
        <w:rPr>
          <w:color w:val="00B050"/>
        </w:rPr>
        <w:t>-</w:t>
      </w:r>
      <w:r w:rsidRPr="00F5565A">
        <w:rPr>
          <w:color w:val="00B050"/>
        </w:rPr>
        <w:t>opvolging</w:t>
      </w:r>
    </w:p>
    <w:p w14:paraId="6A71449E" w14:textId="5F5779FE" w:rsidR="00433EB1" w:rsidRPr="00F5565A" w:rsidRDefault="00433EB1" w:rsidP="00AE2687">
      <w:pPr>
        <w:pStyle w:val="NoSpacing"/>
        <w:numPr>
          <w:ilvl w:val="0"/>
          <w:numId w:val="7"/>
        </w:numPr>
        <w:rPr>
          <w:color w:val="00B050"/>
        </w:rPr>
      </w:pPr>
      <w:r w:rsidRPr="00F5565A">
        <w:rPr>
          <w:color w:val="00B050"/>
        </w:rPr>
        <w:t>De veiligheidscoördinatie van het bouwproject</w:t>
      </w:r>
    </w:p>
    <w:p w14:paraId="7F815F7D" w14:textId="39EFE2A3" w:rsidR="00CE3B5C" w:rsidRPr="00F5565A" w:rsidRDefault="00F5565A" w:rsidP="00AE2687">
      <w:pPr>
        <w:pStyle w:val="NoSpacing"/>
        <w:numPr>
          <w:ilvl w:val="0"/>
          <w:numId w:val="7"/>
        </w:numPr>
        <w:rPr>
          <w:color w:val="00B050"/>
        </w:rPr>
      </w:pPr>
      <w:r w:rsidRPr="00F5565A">
        <w:rPr>
          <w:color w:val="00B050"/>
        </w:rPr>
        <w:t>De</w:t>
      </w:r>
      <w:r w:rsidR="00CE3B5C" w:rsidRPr="00F5565A">
        <w:rPr>
          <w:color w:val="00B050"/>
        </w:rPr>
        <w:t xml:space="preserve"> administratieve opvolging i.v.m. de aansluiting van nutsvoorzieningen</w:t>
      </w:r>
    </w:p>
    <w:p w14:paraId="0B0F6BF0" w14:textId="7B08DB8D" w:rsidR="00CE3B5C" w:rsidRPr="00F5565A" w:rsidRDefault="00F5565A" w:rsidP="00AE2687">
      <w:pPr>
        <w:pStyle w:val="NoSpacing"/>
        <w:numPr>
          <w:ilvl w:val="0"/>
          <w:numId w:val="7"/>
        </w:numPr>
        <w:rPr>
          <w:color w:val="00B050"/>
        </w:rPr>
      </w:pPr>
      <w:r w:rsidRPr="00F5565A">
        <w:rPr>
          <w:color w:val="00B050"/>
        </w:rPr>
        <w:t>De</w:t>
      </w:r>
      <w:r w:rsidR="00CE3B5C" w:rsidRPr="00F5565A">
        <w:rPr>
          <w:color w:val="00B050"/>
        </w:rPr>
        <w:t xml:space="preserve"> risicoanalyse, de plaatsbeschrijving en de opmaak van een asbestinventaris</w:t>
      </w:r>
    </w:p>
    <w:p w14:paraId="69AC8C22" w14:textId="052F46FA" w:rsidR="00CE3B5C" w:rsidRPr="00F5565A" w:rsidRDefault="00F5565A" w:rsidP="00AE2687">
      <w:pPr>
        <w:pStyle w:val="NoSpacing"/>
        <w:numPr>
          <w:ilvl w:val="0"/>
          <w:numId w:val="7"/>
        </w:numPr>
        <w:rPr>
          <w:color w:val="00B050"/>
        </w:rPr>
      </w:pPr>
      <w:r w:rsidRPr="00F5565A">
        <w:rPr>
          <w:color w:val="00B050"/>
        </w:rPr>
        <w:t>De</w:t>
      </w:r>
      <w:r w:rsidR="00CE3B5C" w:rsidRPr="00F5565A">
        <w:rPr>
          <w:color w:val="00B050"/>
        </w:rPr>
        <w:t xml:space="preserve"> omgevingsstudie en/of tuin- en groenaanleg</w:t>
      </w:r>
    </w:p>
    <w:p w14:paraId="6FA5A6D5" w14:textId="1DDB9B5F" w:rsidR="00433EB1" w:rsidRPr="00F5565A" w:rsidRDefault="00433EB1" w:rsidP="00AE2687">
      <w:pPr>
        <w:pStyle w:val="NoSpacing"/>
        <w:numPr>
          <w:ilvl w:val="0"/>
          <w:numId w:val="7"/>
        </w:numPr>
        <w:rPr>
          <w:color w:val="00B050"/>
        </w:rPr>
      </w:pPr>
      <w:r w:rsidRPr="00F5565A">
        <w:rPr>
          <w:color w:val="00B050"/>
        </w:rPr>
        <w:t>De interieurafwerking van het bouwproject</w:t>
      </w:r>
    </w:p>
    <w:p w14:paraId="25A189AF" w14:textId="1EC44B07" w:rsidR="000D49DB" w:rsidRDefault="00433EB1" w:rsidP="00AE2687">
      <w:pPr>
        <w:pStyle w:val="NoSpacing"/>
        <w:numPr>
          <w:ilvl w:val="0"/>
          <w:numId w:val="7"/>
        </w:numPr>
        <w:rPr>
          <w:color w:val="00B050"/>
        </w:rPr>
      </w:pPr>
      <w:r w:rsidRPr="00F5565A">
        <w:rPr>
          <w:color w:val="00B050"/>
        </w:rPr>
        <w:t xml:space="preserve">De </w:t>
      </w:r>
      <w:r w:rsidR="000D49DB" w:rsidRPr="00F5565A">
        <w:rPr>
          <w:color w:val="00B050"/>
        </w:rPr>
        <w:t xml:space="preserve">objectieve technische analyse van volgende </w:t>
      </w:r>
      <w:r w:rsidR="00F5565A" w:rsidRPr="00F5565A">
        <w:rPr>
          <w:color w:val="00B050"/>
        </w:rPr>
        <w:t>elementen:</w:t>
      </w:r>
      <w:r w:rsidR="00AE2687" w:rsidRPr="00F5565A">
        <w:rPr>
          <w:color w:val="00B050"/>
        </w:rPr>
        <w:t xml:space="preserve"> …</w:t>
      </w:r>
    </w:p>
    <w:p w14:paraId="45C177EA" w14:textId="16BC8423" w:rsidR="005C1DC5" w:rsidRPr="00F5565A" w:rsidRDefault="005C1DC5" w:rsidP="00AE2687">
      <w:pPr>
        <w:pStyle w:val="NoSpacing"/>
        <w:numPr>
          <w:ilvl w:val="0"/>
          <w:numId w:val="7"/>
        </w:numPr>
        <w:rPr>
          <w:color w:val="00B050"/>
        </w:rPr>
      </w:pPr>
      <w:r>
        <w:rPr>
          <w:color w:val="00B050"/>
        </w:rPr>
        <w:t>…</w:t>
      </w:r>
    </w:p>
    <w:p w14:paraId="06099D75" w14:textId="77777777" w:rsidR="00F5565A" w:rsidRPr="00F5565A" w:rsidRDefault="00F5565A" w:rsidP="00AE2687">
      <w:pPr>
        <w:pStyle w:val="NoSpacing"/>
        <w:rPr>
          <w:color w:val="00B050"/>
        </w:rPr>
      </w:pPr>
    </w:p>
    <w:p w14:paraId="412BD7E4" w14:textId="6B7F19B1" w:rsidR="000D49DB" w:rsidRPr="00F5565A" w:rsidRDefault="000D49DB" w:rsidP="00AE2687">
      <w:pPr>
        <w:pStyle w:val="NoSpacing"/>
        <w:rPr>
          <w:color w:val="00B050"/>
        </w:rPr>
      </w:pPr>
      <w:r w:rsidRPr="00F5565A">
        <w:rPr>
          <w:color w:val="00B050"/>
        </w:rPr>
        <w:t>De Dienstverlener zal in het kader hiervan volgende taken op zich nemen:</w:t>
      </w:r>
    </w:p>
    <w:p w14:paraId="6FA88E81" w14:textId="469546DD" w:rsidR="00F5565A" w:rsidRDefault="00433EB1" w:rsidP="00ED2051">
      <w:pPr>
        <w:pStyle w:val="NoSpacing"/>
        <w:numPr>
          <w:ilvl w:val="0"/>
          <w:numId w:val="7"/>
        </w:numPr>
        <w:rPr>
          <w:color w:val="92D050"/>
        </w:rPr>
      </w:pPr>
      <w:r w:rsidRPr="00F5565A">
        <w:rPr>
          <w:color w:val="00B050"/>
        </w:rPr>
        <w:t xml:space="preserve">Het </w:t>
      </w:r>
      <w:r w:rsidR="00ED2051">
        <w:rPr>
          <w:color w:val="00B050"/>
        </w:rPr>
        <w:t>o</w:t>
      </w:r>
      <w:r w:rsidRPr="00F5565A">
        <w:rPr>
          <w:color w:val="00B050"/>
        </w:rPr>
        <w:t xml:space="preserve">pstellen van de meetstaten en/of het lastenboek voor de loten in de afwerkingsfase: elektriciteit, sanitair, verwarming, ventilatie, airco, beveiliging, </w:t>
      </w:r>
      <w:proofErr w:type="spellStart"/>
      <w:r w:rsidRPr="00F5565A">
        <w:rPr>
          <w:color w:val="00B050"/>
        </w:rPr>
        <w:t>domotica</w:t>
      </w:r>
      <w:proofErr w:type="spellEnd"/>
      <w:r w:rsidRPr="00F5565A">
        <w:rPr>
          <w:color w:val="00B050"/>
        </w:rPr>
        <w:t xml:space="preserve">, branddetectie, akoestiek, pleisterwerken, vloer- en muurafwerkingen, gevelafwerking, balustrades, </w:t>
      </w:r>
      <w:proofErr w:type="spellStart"/>
      <w:r w:rsidRPr="00F5565A">
        <w:rPr>
          <w:color w:val="00B050"/>
        </w:rPr>
        <w:t>binnenschrijnwerk</w:t>
      </w:r>
      <w:proofErr w:type="spellEnd"/>
      <w:r w:rsidRPr="00F5565A">
        <w:rPr>
          <w:color w:val="00B050"/>
        </w:rPr>
        <w:t>, decoratiewerken</w:t>
      </w:r>
      <w:r w:rsidR="00ED2051">
        <w:rPr>
          <w:color w:val="00B050"/>
        </w:rPr>
        <w:t xml:space="preserve">, </w:t>
      </w:r>
      <w:r w:rsidR="00AE2687" w:rsidRPr="00F5565A">
        <w:rPr>
          <w:color w:val="92D050"/>
        </w:rPr>
        <w:t>…</w:t>
      </w:r>
    </w:p>
    <w:p w14:paraId="67CC666C" w14:textId="77777777" w:rsidR="00ED2051" w:rsidRPr="00ED2051" w:rsidRDefault="00ED2051" w:rsidP="00ED2051">
      <w:pPr>
        <w:pStyle w:val="NoSpacing"/>
        <w:ind w:left="720"/>
        <w:rPr>
          <w:color w:val="92D050"/>
        </w:rPr>
      </w:pPr>
    </w:p>
    <w:p w14:paraId="34369CE6" w14:textId="56254A84" w:rsidR="00433EB1" w:rsidRPr="00F5565A" w:rsidRDefault="00CE3B5C" w:rsidP="00AE2687">
      <w:pPr>
        <w:jc w:val="both"/>
      </w:pPr>
      <w:r w:rsidRPr="00F5565A">
        <w:rPr>
          <w:rFonts w:cstheme="minorHAnsi"/>
        </w:rPr>
        <w:t xml:space="preserve">Het is de Dienstverlener toegestaan taken te laten uitvoeren door zijn hulppersoneel, weliswaar steeds onder zijn leiding en </w:t>
      </w:r>
      <w:r w:rsidR="00F5565A" w:rsidRPr="00F5565A">
        <w:rPr>
          <w:rFonts w:cstheme="minorHAnsi"/>
        </w:rPr>
        <w:t>controle.</w:t>
      </w:r>
      <w:r w:rsidR="00FE0C1E" w:rsidRPr="00F5565A">
        <w:rPr>
          <w:rFonts w:cstheme="minorHAnsi"/>
        </w:rPr>
        <w:t xml:space="preserve"> </w:t>
      </w:r>
      <w:r w:rsidR="00FE0C1E" w:rsidRPr="00ED2051">
        <w:rPr>
          <w:rFonts w:cstheme="minorHAnsi"/>
          <w:sz w:val="20"/>
          <w:szCs w:val="20"/>
        </w:rPr>
        <w:t>(</w:t>
      </w:r>
      <w:proofErr w:type="gramStart"/>
      <w:r w:rsidR="00FE0C1E" w:rsidRPr="00ED2051">
        <w:rPr>
          <w:rFonts w:cstheme="minorHAnsi"/>
          <w:sz w:val="20"/>
          <w:szCs w:val="20"/>
        </w:rPr>
        <w:t>geen</w:t>
      </w:r>
      <w:proofErr w:type="gramEnd"/>
      <w:r w:rsidR="00FE0C1E" w:rsidRPr="00ED2051">
        <w:rPr>
          <w:rFonts w:cstheme="minorHAnsi"/>
          <w:sz w:val="20"/>
          <w:szCs w:val="20"/>
        </w:rPr>
        <w:t xml:space="preserve"> onderaanneming)</w:t>
      </w:r>
    </w:p>
    <w:p w14:paraId="3878A485" w14:textId="75EC4DDC" w:rsidR="000D49DB" w:rsidRPr="00F5565A" w:rsidRDefault="000D49DB" w:rsidP="00B71E50">
      <w:r w:rsidRPr="00F5565A">
        <w:rPr>
          <w:highlight w:val="lightGray"/>
        </w:rPr>
        <w:t xml:space="preserve">De </w:t>
      </w:r>
      <w:r w:rsidR="00ED2051">
        <w:rPr>
          <w:highlight w:val="lightGray"/>
        </w:rPr>
        <w:t>d</w:t>
      </w:r>
      <w:r w:rsidRPr="00F5565A">
        <w:rPr>
          <w:highlight w:val="lightGray"/>
        </w:rPr>
        <w:t xml:space="preserve">uurtijd van de opdracht wordt ingeschat op ……. </w:t>
      </w:r>
      <w:proofErr w:type="gramStart"/>
      <w:r w:rsidR="00ED2051">
        <w:rPr>
          <w:highlight w:val="lightGray"/>
        </w:rPr>
        <w:t>k</w:t>
      </w:r>
      <w:r w:rsidRPr="00F5565A">
        <w:rPr>
          <w:highlight w:val="lightGray"/>
        </w:rPr>
        <w:t>alenderdagen</w:t>
      </w:r>
      <w:proofErr w:type="gramEnd"/>
      <w:r w:rsidR="00F112EB" w:rsidRPr="00F5565A">
        <w:rPr>
          <w:highlight w:val="lightGray"/>
        </w:rPr>
        <w:t>, na de ontvangst van de relevante documenten</w:t>
      </w:r>
      <w:r w:rsidRPr="00F5565A">
        <w:rPr>
          <w:highlight w:val="lightGray"/>
        </w:rPr>
        <w:t>.</w:t>
      </w:r>
      <w:r w:rsidR="00F112EB" w:rsidRPr="00F5565A">
        <w:t xml:space="preserve"> </w:t>
      </w:r>
      <w:r w:rsidR="00F112EB" w:rsidRPr="00ED2051">
        <w:rPr>
          <w:sz w:val="20"/>
          <w:szCs w:val="20"/>
        </w:rPr>
        <w:t>(</w:t>
      </w:r>
      <w:proofErr w:type="gramStart"/>
      <w:r w:rsidR="00F112EB" w:rsidRPr="00ED2051">
        <w:rPr>
          <w:sz w:val="20"/>
          <w:szCs w:val="20"/>
        </w:rPr>
        <w:t>enkel</w:t>
      </w:r>
      <w:proofErr w:type="gramEnd"/>
      <w:r w:rsidR="00F112EB" w:rsidRPr="00ED2051">
        <w:rPr>
          <w:sz w:val="20"/>
          <w:szCs w:val="20"/>
        </w:rPr>
        <w:t xml:space="preserve"> bij projecten zonder bouwvergunningsplicht)</w:t>
      </w:r>
    </w:p>
    <w:p w14:paraId="074C54E4" w14:textId="45B060A9" w:rsidR="000D49DB" w:rsidRDefault="00433EB1" w:rsidP="000D49DB">
      <w:pPr>
        <w:pStyle w:val="Heading1"/>
        <w:numPr>
          <w:ilvl w:val="0"/>
          <w:numId w:val="1"/>
        </w:numPr>
        <w:rPr>
          <w:lang w:val="nl-NL"/>
        </w:rPr>
      </w:pPr>
      <w:r>
        <w:rPr>
          <w:lang w:val="nl-NL"/>
        </w:rPr>
        <w:lastRenderedPageBreak/>
        <w:t>V</w:t>
      </w:r>
      <w:r w:rsidR="00216C3C">
        <w:rPr>
          <w:lang w:val="nl-NL"/>
        </w:rPr>
        <w:t>ergoeding van de dienstverlener</w:t>
      </w:r>
    </w:p>
    <w:p w14:paraId="166168C0" w14:textId="1C29F998" w:rsidR="000D49DB" w:rsidRPr="003C7E36" w:rsidRDefault="00433EB1" w:rsidP="00251FB6">
      <w:pPr>
        <w:pStyle w:val="Heading2"/>
        <w:numPr>
          <w:ilvl w:val="1"/>
          <w:numId w:val="1"/>
        </w:numPr>
        <w:ind w:left="720"/>
        <w:rPr>
          <w:sz w:val="24"/>
          <w:szCs w:val="24"/>
          <w:lang w:val="nl-BE"/>
        </w:rPr>
      </w:pPr>
      <w:bookmarkStart w:id="4" w:name="_Toc479848151"/>
      <w:r w:rsidRPr="003C7E36">
        <w:rPr>
          <w:sz w:val="24"/>
          <w:szCs w:val="24"/>
          <w:lang w:val="nl-BE"/>
        </w:rPr>
        <w:t>De Vergoeding</w:t>
      </w:r>
      <w:r w:rsidR="000D49DB" w:rsidRPr="003C7E36">
        <w:rPr>
          <w:sz w:val="24"/>
          <w:szCs w:val="24"/>
          <w:lang w:val="nl-BE"/>
        </w:rPr>
        <w:t xml:space="preserve"> van de Dienstverlener voor de opdracht wordt vastgelegd als volgt:</w:t>
      </w:r>
      <w:bookmarkEnd w:id="4"/>
    </w:p>
    <w:p w14:paraId="31FC50E3" w14:textId="77777777" w:rsidR="000D49DB" w:rsidRPr="00F5565A" w:rsidRDefault="000D49DB" w:rsidP="000D49DB">
      <w:pPr>
        <w:pStyle w:val="NoSpacing"/>
        <w:numPr>
          <w:ilvl w:val="0"/>
          <w:numId w:val="2"/>
        </w:numPr>
        <w:ind w:left="850"/>
        <w:rPr>
          <w:rFonts w:cstheme="minorHAnsi"/>
          <w:i/>
          <w:iCs/>
          <w:color w:val="00B050"/>
        </w:rPr>
      </w:pPr>
      <w:r w:rsidRPr="00F5565A">
        <w:rPr>
          <w:rFonts w:cstheme="minorHAnsi"/>
          <w:i/>
          <w:iCs/>
          <w:color w:val="00B050"/>
        </w:rPr>
        <w:t>Dossierkost</w:t>
      </w:r>
    </w:p>
    <w:p w14:paraId="37B7E4B7" w14:textId="77777777" w:rsidR="000D49DB" w:rsidRPr="00F5565A" w:rsidRDefault="000D49DB" w:rsidP="000D49DB">
      <w:pPr>
        <w:pStyle w:val="NoSpacing"/>
        <w:numPr>
          <w:ilvl w:val="0"/>
          <w:numId w:val="2"/>
        </w:numPr>
        <w:ind w:left="850"/>
        <w:rPr>
          <w:rFonts w:cstheme="minorHAnsi"/>
          <w:i/>
          <w:iCs/>
          <w:color w:val="00B050"/>
        </w:rPr>
      </w:pPr>
      <w:r w:rsidRPr="00F5565A">
        <w:rPr>
          <w:rFonts w:cstheme="minorHAnsi"/>
          <w:i/>
          <w:iCs/>
          <w:color w:val="00B050"/>
        </w:rPr>
        <w:t>Forfaitaire kost</w:t>
      </w:r>
    </w:p>
    <w:p w14:paraId="6FC65539" w14:textId="74CBEC40" w:rsidR="00433EB1" w:rsidRPr="00F5565A" w:rsidRDefault="00924139" w:rsidP="00433EB1">
      <w:pPr>
        <w:pStyle w:val="NoSpacing"/>
        <w:numPr>
          <w:ilvl w:val="0"/>
          <w:numId w:val="2"/>
        </w:numPr>
        <w:ind w:left="850"/>
        <w:rPr>
          <w:rFonts w:cstheme="minorHAnsi"/>
          <w:i/>
          <w:iCs/>
          <w:color w:val="00B050"/>
        </w:rPr>
      </w:pPr>
      <w:r w:rsidRPr="00F5565A">
        <w:rPr>
          <w:rFonts w:cstheme="minorHAnsi"/>
          <w:i/>
          <w:iCs/>
          <w:color w:val="00B050"/>
        </w:rPr>
        <w:t>Tarief</w:t>
      </w:r>
      <w:r w:rsidR="00433EB1" w:rsidRPr="00F5565A">
        <w:rPr>
          <w:rFonts w:cstheme="minorHAnsi"/>
          <w:i/>
          <w:iCs/>
          <w:color w:val="00B050"/>
        </w:rPr>
        <w:t xml:space="preserve"> </w:t>
      </w:r>
      <w:r w:rsidR="000D49DB" w:rsidRPr="00F5565A">
        <w:rPr>
          <w:rFonts w:cstheme="minorHAnsi"/>
          <w:i/>
          <w:iCs/>
          <w:color w:val="00B050"/>
        </w:rPr>
        <w:t>per uur</w:t>
      </w:r>
    </w:p>
    <w:p w14:paraId="5FF66ED5" w14:textId="77777777" w:rsidR="00D0050D" w:rsidRPr="00F5565A" w:rsidRDefault="00D0050D" w:rsidP="00D0050D">
      <w:pPr>
        <w:pStyle w:val="NoSpacing"/>
        <w:ind w:left="850"/>
        <w:rPr>
          <w:rFonts w:cstheme="minorHAnsi"/>
          <w:highlight w:val="green"/>
        </w:rPr>
      </w:pPr>
    </w:p>
    <w:p w14:paraId="130EFA7E" w14:textId="1AA38D1D" w:rsidR="00B83264" w:rsidRPr="00F5565A" w:rsidRDefault="00D0050D" w:rsidP="00924139">
      <w:pPr>
        <w:pStyle w:val="NoSpacing"/>
        <w:jc w:val="both"/>
        <w:rPr>
          <w:rFonts w:cstheme="minorHAnsi"/>
        </w:rPr>
      </w:pPr>
      <w:r w:rsidRPr="00F5565A">
        <w:rPr>
          <w:rFonts w:cstheme="minorHAnsi"/>
          <w:lang w:val="nl-BE"/>
        </w:rPr>
        <w:t xml:space="preserve">De in dit artikel vermelde bedragen voor uur- en forfaitaire vergoedingen volgen de gezondheidsindex. Bij elke verjaring van de contractdatum worden de vermelde eenheidsprijzen aangepast aan de nieuwe index. De basisindex is </w:t>
      </w:r>
      <w:r w:rsidR="00924139">
        <w:rPr>
          <w:rFonts w:cstheme="minorHAnsi"/>
          <w:lang w:val="nl-BE"/>
        </w:rPr>
        <w:t>die</w:t>
      </w:r>
      <w:r w:rsidRPr="00F5565A">
        <w:rPr>
          <w:rFonts w:cstheme="minorHAnsi"/>
          <w:lang w:val="nl-BE"/>
        </w:rPr>
        <w:t xml:space="preserve"> van 2 maand</w:t>
      </w:r>
      <w:r w:rsidR="00D22B42">
        <w:rPr>
          <w:rFonts w:cstheme="minorHAnsi"/>
          <w:lang w:val="nl-BE"/>
        </w:rPr>
        <w:t>en</w:t>
      </w:r>
      <w:r w:rsidRPr="00F5565A">
        <w:rPr>
          <w:rFonts w:cstheme="minorHAnsi"/>
          <w:lang w:val="nl-BE"/>
        </w:rPr>
        <w:t xml:space="preserve"> voorafgaand aan de maand van ondertekening. De nieuwe index </w:t>
      </w:r>
      <w:r w:rsidR="00924139">
        <w:rPr>
          <w:rFonts w:cstheme="minorHAnsi"/>
          <w:lang w:val="nl-BE"/>
        </w:rPr>
        <w:t>die</w:t>
      </w:r>
      <w:r w:rsidRPr="00F5565A">
        <w:rPr>
          <w:rFonts w:cstheme="minorHAnsi"/>
          <w:lang w:val="nl-BE"/>
        </w:rPr>
        <w:t xml:space="preserve"> van twaalf maand later</w:t>
      </w:r>
      <w:r w:rsidR="00D05D7C" w:rsidRPr="00F5565A">
        <w:rPr>
          <w:rFonts w:cstheme="minorHAnsi"/>
          <w:lang w:val="nl-BE"/>
        </w:rPr>
        <w:t>.</w:t>
      </w:r>
      <w:r w:rsidR="00B83264" w:rsidRPr="00F5565A">
        <w:rPr>
          <w:rFonts w:cstheme="minorHAnsi"/>
        </w:rPr>
        <w:t xml:space="preserve"> </w:t>
      </w:r>
    </w:p>
    <w:p w14:paraId="333AFA51" w14:textId="77777777" w:rsidR="00B83264" w:rsidRPr="00F5565A" w:rsidRDefault="00B83264" w:rsidP="00FE0C1E">
      <w:pPr>
        <w:pStyle w:val="NoSpacing"/>
        <w:ind w:left="850"/>
        <w:jc w:val="both"/>
        <w:rPr>
          <w:rFonts w:cstheme="minorHAnsi"/>
        </w:rPr>
      </w:pPr>
    </w:p>
    <w:p w14:paraId="3E2CFE7D" w14:textId="7960132C" w:rsidR="00B83264" w:rsidRPr="00F5565A" w:rsidRDefault="00B83264" w:rsidP="00924139">
      <w:pPr>
        <w:pStyle w:val="NoSpacing"/>
        <w:jc w:val="both"/>
        <w:rPr>
          <w:rFonts w:cstheme="minorHAnsi"/>
        </w:rPr>
      </w:pPr>
      <w:r w:rsidRPr="00F5565A">
        <w:rPr>
          <w:rFonts w:cstheme="minorHAnsi"/>
        </w:rPr>
        <w:t xml:space="preserve">De </w:t>
      </w:r>
      <w:r w:rsidR="00924139">
        <w:rPr>
          <w:rFonts w:cstheme="minorHAnsi"/>
        </w:rPr>
        <w:t>b</w:t>
      </w:r>
      <w:r w:rsidRPr="00F5565A">
        <w:rPr>
          <w:rFonts w:cstheme="minorHAnsi"/>
        </w:rPr>
        <w:t>elasting op de toegevoegde waarde en andere taksen zijn ten laste van de Opdrachtgever en zijn niet in de bovenvermelde bedragen vervat.</w:t>
      </w:r>
    </w:p>
    <w:p w14:paraId="3DC3FB29" w14:textId="77777777" w:rsidR="00433EB1" w:rsidRPr="00F5565A" w:rsidRDefault="00433EB1" w:rsidP="00433EB1">
      <w:pPr>
        <w:pStyle w:val="NoSpacing"/>
        <w:rPr>
          <w:highlight w:val="green"/>
        </w:rPr>
      </w:pPr>
    </w:p>
    <w:p w14:paraId="34463634" w14:textId="4550DF25" w:rsidR="00433EB1" w:rsidRPr="003C7E36" w:rsidRDefault="00433EB1" w:rsidP="00251FB6">
      <w:pPr>
        <w:pStyle w:val="Heading2"/>
        <w:numPr>
          <w:ilvl w:val="1"/>
          <w:numId w:val="1"/>
        </w:numPr>
        <w:ind w:left="720"/>
        <w:rPr>
          <w:sz w:val="24"/>
          <w:szCs w:val="24"/>
          <w:lang w:val="nl-BE"/>
        </w:rPr>
      </w:pPr>
      <w:bookmarkStart w:id="5" w:name="_Toc479848155"/>
      <w:proofErr w:type="spellStart"/>
      <w:r w:rsidRPr="003C7E36">
        <w:rPr>
          <w:sz w:val="24"/>
          <w:szCs w:val="24"/>
          <w:lang w:val="nl-BE"/>
        </w:rPr>
        <w:t>Onkosten</w:t>
      </w:r>
      <w:bookmarkEnd w:id="5"/>
      <w:proofErr w:type="spellEnd"/>
      <w:r w:rsidRPr="003C7E36">
        <w:rPr>
          <w:sz w:val="24"/>
          <w:szCs w:val="24"/>
          <w:lang w:val="nl-BE"/>
        </w:rPr>
        <w:t xml:space="preserve"> </w:t>
      </w:r>
      <w:proofErr w:type="spellStart"/>
      <w:r w:rsidRPr="003C7E36">
        <w:rPr>
          <w:sz w:val="24"/>
          <w:szCs w:val="24"/>
          <w:lang w:val="nl-BE"/>
        </w:rPr>
        <w:t>worden</w:t>
      </w:r>
      <w:proofErr w:type="spellEnd"/>
      <w:r w:rsidRPr="003C7E36">
        <w:rPr>
          <w:sz w:val="24"/>
          <w:szCs w:val="24"/>
          <w:lang w:val="nl-BE"/>
        </w:rPr>
        <w:t xml:space="preserve"> </w:t>
      </w:r>
      <w:proofErr w:type="spellStart"/>
      <w:r w:rsidRPr="003C7E36">
        <w:rPr>
          <w:sz w:val="24"/>
          <w:szCs w:val="24"/>
          <w:lang w:val="nl-BE"/>
        </w:rPr>
        <w:t>afzonderlijk</w:t>
      </w:r>
      <w:proofErr w:type="spellEnd"/>
      <w:r w:rsidRPr="003C7E36">
        <w:rPr>
          <w:sz w:val="24"/>
          <w:szCs w:val="24"/>
          <w:lang w:val="nl-BE"/>
        </w:rPr>
        <w:t xml:space="preserve"> </w:t>
      </w:r>
      <w:proofErr w:type="spellStart"/>
      <w:proofErr w:type="gramStart"/>
      <w:r w:rsidRPr="003C7E36">
        <w:rPr>
          <w:sz w:val="24"/>
          <w:szCs w:val="24"/>
          <w:lang w:val="nl-BE"/>
        </w:rPr>
        <w:t>aangerekend</w:t>
      </w:r>
      <w:proofErr w:type="spellEnd"/>
      <w:r w:rsidRPr="003C7E36">
        <w:rPr>
          <w:sz w:val="24"/>
          <w:szCs w:val="24"/>
          <w:lang w:val="nl-BE"/>
        </w:rPr>
        <w:t>:</w:t>
      </w:r>
      <w:proofErr w:type="gramEnd"/>
      <w:r w:rsidRPr="003C7E36">
        <w:rPr>
          <w:sz w:val="24"/>
          <w:szCs w:val="24"/>
          <w:lang w:val="nl-BE"/>
        </w:rPr>
        <w:t xml:space="preserve"> </w:t>
      </w:r>
    </w:p>
    <w:p w14:paraId="049A3EC3" w14:textId="29F6FDEF" w:rsidR="00433EB1" w:rsidRPr="00F5565A" w:rsidRDefault="00433EB1" w:rsidP="00E3618C">
      <w:pPr>
        <w:pStyle w:val="NoSpacing"/>
        <w:numPr>
          <w:ilvl w:val="0"/>
          <w:numId w:val="8"/>
        </w:numPr>
      </w:pPr>
      <w:r w:rsidRPr="00F5565A">
        <w:t xml:space="preserve">Verplaatsingen buiten een straal van xx km van de zetel van de Dienstverlener worden </w:t>
      </w:r>
      <w:r w:rsidR="00D05D7C" w:rsidRPr="00F5565A">
        <w:t xml:space="preserve">  </w:t>
      </w:r>
      <w:r w:rsidRPr="00F5565A">
        <w:t>aangerekend aan</w:t>
      </w:r>
      <w:r w:rsidR="00E3618C" w:rsidRPr="00F5565A">
        <w:rPr>
          <w:lang w:val="nl-BE"/>
        </w:rPr>
        <w:t xml:space="preserve"> de kilometervergoeding voor ambtenaren, op heden</w:t>
      </w:r>
      <w:r w:rsidRPr="00F5565A">
        <w:t xml:space="preserve"> xx €/km.</w:t>
      </w:r>
    </w:p>
    <w:p w14:paraId="1C5E2502" w14:textId="2D69A95B" w:rsidR="00E3618C" w:rsidRPr="00F5565A" w:rsidRDefault="00E3618C" w:rsidP="00E3618C">
      <w:pPr>
        <w:pStyle w:val="NoSpacing"/>
        <w:numPr>
          <w:ilvl w:val="0"/>
          <w:numId w:val="8"/>
        </w:numPr>
        <w:rPr>
          <w:color w:val="00B050"/>
          <w:lang w:val="nl-BE"/>
        </w:rPr>
      </w:pPr>
      <w:r w:rsidRPr="00F5565A">
        <w:rPr>
          <w:color w:val="00B050"/>
          <w:lang w:val="nl-BE"/>
        </w:rPr>
        <w:t xml:space="preserve">De aansprakelijkheidsverzekering die wordt berekend als een percentage op de </w:t>
      </w:r>
      <w:r w:rsidR="00BE463C">
        <w:rPr>
          <w:color w:val="00B050"/>
          <w:lang w:val="nl-BE"/>
        </w:rPr>
        <w:t>honoraria.</w:t>
      </w:r>
    </w:p>
    <w:p w14:paraId="78CC4BEF" w14:textId="77777777" w:rsidR="00F460F8" w:rsidRPr="00E3618C" w:rsidRDefault="00F460F8" w:rsidP="00D05D7C">
      <w:pPr>
        <w:pStyle w:val="NoSpacing"/>
        <w:ind w:left="360"/>
        <w:rPr>
          <w:color w:val="92D050"/>
          <w:sz w:val="24"/>
          <w:szCs w:val="24"/>
        </w:rPr>
      </w:pPr>
    </w:p>
    <w:p w14:paraId="2C667876" w14:textId="4CAD355B" w:rsidR="00433EB1" w:rsidRPr="003C7E36" w:rsidRDefault="00433EB1" w:rsidP="00251FB6">
      <w:pPr>
        <w:pStyle w:val="Heading2"/>
        <w:numPr>
          <w:ilvl w:val="1"/>
          <w:numId w:val="1"/>
        </w:numPr>
        <w:ind w:left="720"/>
        <w:rPr>
          <w:sz w:val="24"/>
          <w:szCs w:val="24"/>
          <w:lang w:val="nl-BE"/>
        </w:rPr>
      </w:pPr>
      <w:proofErr w:type="spellStart"/>
      <w:r w:rsidRPr="003C7E36">
        <w:rPr>
          <w:sz w:val="24"/>
          <w:szCs w:val="24"/>
          <w:lang w:val="nl-BE"/>
        </w:rPr>
        <w:t>Betaaltermijn</w:t>
      </w:r>
      <w:proofErr w:type="spellEnd"/>
      <w:r w:rsidRPr="003C7E36">
        <w:rPr>
          <w:sz w:val="24"/>
          <w:szCs w:val="24"/>
          <w:lang w:val="nl-BE"/>
        </w:rPr>
        <w:t xml:space="preserve"> en -</w:t>
      </w:r>
      <w:proofErr w:type="spellStart"/>
      <w:r w:rsidRPr="003C7E36">
        <w:rPr>
          <w:sz w:val="24"/>
          <w:szCs w:val="24"/>
          <w:lang w:val="nl-BE"/>
        </w:rPr>
        <w:t>voorwaarden</w:t>
      </w:r>
      <w:proofErr w:type="spellEnd"/>
    </w:p>
    <w:p w14:paraId="7228147D" w14:textId="26657C32" w:rsidR="00433EB1" w:rsidRPr="00F5565A" w:rsidRDefault="00433EB1" w:rsidP="00924139">
      <w:pPr>
        <w:pStyle w:val="NoSpacing"/>
      </w:pPr>
      <w:r w:rsidRPr="00F5565A">
        <w:t xml:space="preserve">Alle bedragen </w:t>
      </w:r>
      <w:r w:rsidR="00D22B42">
        <w:t xml:space="preserve">verschuldigd </w:t>
      </w:r>
      <w:r w:rsidRPr="00F5565A">
        <w:t xml:space="preserve">aan de Dienstverlener </w:t>
      </w:r>
      <w:r w:rsidR="00D22B42">
        <w:t>zijn</w:t>
      </w:r>
      <w:r w:rsidRPr="00F5565A">
        <w:t xml:space="preserve"> uitsluitend betaalbaar door middel van </w:t>
      </w:r>
      <w:r w:rsidR="002242BD" w:rsidRPr="00F5565A">
        <w:t>overschrijvingen</w:t>
      </w:r>
      <w:r w:rsidRPr="00F5565A">
        <w:t xml:space="preserve"> op het </w:t>
      </w:r>
      <w:r w:rsidR="00924139" w:rsidRPr="00F5565A">
        <w:t>IBAN-rekeningnummer</w:t>
      </w:r>
      <w:r w:rsidRPr="00F5565A">
        <w:t xml:space="preserve"> </w:t>
      </w:r>
      <w:proofErr w:type="spellStart"/>
      <w:r w:rsidRPr="00F5565A">
        <w:t>BExx</w:t>
      </w:r>
      <w:proofErr w:type="spellEnd"/>
      <w:r w:rsidRPr="00F5565A">
        <w:t xml:space="preserve"> </w:t>
      </w:r>
      <w:proofErr w:type="spellStart"/>
      <w:r w:rsidRPr="00F5565A">
        <w:t>xxxx</w:t>
      </w:r>
      <w:proofErr w:type="spellEnd"/>
      <w:r w:rsidRPr="00F5565A">
        <w:t xml:space="preserve"> </w:t>
      </w:r>
      <w:proofErr w:type="spellStart"/>
      <w:r w:rsidRPr="00F5565A">
        <w:t>xxxx</w:t>
      </w:r>
      <w:proofErr w:type="spellEnd"/>
      <w:r w:rsidRPr="00F5565A">
        <w:t xml:space="preserve"> </w:t>
      </w:r>
      <w:proofErr w:type="spellStart"/>
      <w:r w:rsidRPr="00F5565A">
        <w:t>xxxx</w:t>
      </w:r>
      <w:proofErr w:type="spellEnd"/>
      <w:r w:rsidRPr="00F5565A">
        <w:t xml:space="preserve"> binnen de 15 werkdagen. </w:t>
      </w:r>
    </w:p>
    <w:p w14:paraId="06A70682" w14:textId="13A5D20E" w:rsidR="00433EB1" w:rsidRPr="00F5565A" w:rsidRDefault="00433EB1" w:rsidP="00924139">
      <w:pPr>
        <w:pStyle w:val="NoSpacing"/>
      </w:pPr>
      <w:r w:rsidRPr="00F5565A">
        <w:t>Elke betwisting over een factuur moet binnen de 15 dagen schriftelijk aan de Dienstverlener betekend worden.</w:t>
      </w:r>
    </w:p>
    <w:p w14:paraId="4726C769" w14:textId="77777777" w:rsidR="00D0050D" w:rsidRPr="00F5565A" w:rsidRDefault="00D0050D" w:rsidP="00924139">
      <w:pPr>
        <w:pStyle w:val="NoSpacing"/>
        <w:ind w:left="348"/>
        <w:jc w:val="both"/>
        <w:rPr>
          <w:rFonts w:cstheme="minorHAnsi"/>
          <w:highlight w:val="lightGray"/>
        </w:rPr>
      </w:pPr>
    </w:p>
    <w:p w14:paraId="779694FC" w14:textId="0962B294" w:rsidR="00D0050D" w:rsidRPr="00F5565A" w:rsidRDefault="00F112EB" w:rsidP="00924139">
      <w:pPr>
        <w:pStyle w:val="NoSpacing"/>
        <w:jc w:val="both"/>
        <w:rPr>
          <w:rFonts w:cstheme="minorHAnsi"/>
        </w:rPr>
      </w:pPr>
      <w:r w:rsidRPr="00F5565A">
        <w:rPr>
          <w:rFonts w:cstheme="minorHAnsi"/>
        </w:rPr>
        <w:t>Bij een niet tijdige betaling</w:t>
      </w:r>
      <w:r w:rsidR="00D0050D" w:rsidRPr="00F5565A">
        <w:rPr>
          <w:rFonts w:cstheme="minorHAnsi"/>
        </w:rPr>
        <w:t xml:space="preserve"> binnen de 15 dagen word</w:t>
      </w:r>
      <w:r w:rsidRPr="00F5565A">
        <w:rPr>
          <w:rFonts w:cstheme="minorHAnsi"/>
        </w:rPr>
        <w:t>en de sommen</w:t>
      </w:r>
      <w:r w:rsidR="00D0050D" w:rsidRPr="00F5565A">
        <w:rPr>
          <w:rFonts w:cstheme="minorHAnsi"/>
        </w:rPr>
        <w:t xml:space="preserve"> zonder ingebrekestelling met </w:t>
      </w:r>
      <w:r w:rsidRPr="00F5565A">
        <w:rPr>
          <w:rFonts w:cstheme="minorHAnsi"/>
        </w:rPr>
        <w:t>een contractuele</w:t>
      </w:r>
      <w:r w:rsidR="00D0050D" w:rsidRPr="00F5565A">
        <w:rPr>
          <w:rFonts w:cstheme="minorHAnsi"/>
        </w:rPr>
        <w:t xml:space="preserve"> moratoire interestvoet </w:t>
      </w:r>
      <w:r w:rsidR="00D05D7C" w:rsidRPr="00F5565A">
        <w:rPr>
          <w:rFonts w:cstheme="minorHAnsi"/>
        </w:rPr>
        <w:t xml:space="preserve">verhoogd, </w:t>
      </w:r>
      <w:r w:rsidR="00D0050D" w:rsidRPr="00F5565A">
        <w:rPr>
          <w:rFonts w:cstheme="minorHAnsi"/>
        </w:rPr>
        <w:t xml:space="preserve">gelijk aan de </w:t>
      </w:r>
      <w:r w:rsidRPr="00F5565A">
        <w:rPr>
          <w:rFonts w:cstheme="minorHAnsi"/>
        </w:rPr>
        <w:t>referentie-</w:t>
      </w:r>
      <w:r w:rsidR="00D0050D" w:rsidRPr="00F5565A">
        <w:rPr>
          <w:rFonts w:cstheme="minorHAnsi"/>
        </w:rPr>
        <w:t>rentevoet van de ECB + 8 %</w:t>
      </w:r>
      <w:r w:rsidR="00D05D7C" w:rsidRPr="00F5565A">
        <w:rPr>
          <w:rFonts w:cstheme="minorHAnsi"/>
        </w:rPr>
        <w:t>,</w:t>
      </w:r>
      <w:r w:rsidR="00D0050D" w:rsidRPr="00F5565A">
        <w:rPr>
          <w:rFonts w:cstheme="minorHAnsi"/>
        </w:rPr>
        <w:t xml:space="preserve"> en </w:t>
      </w:r>
      <w:bookmarkStart w:id="6" w:name="_Hlk119663261"/>
      <w:r w:rsidR="00D0050D" w:rsidRPr="00F5565A">
        <w:rPr>
          <w:rFonts w:cstheme="minorHAnsi"/>
        </w:rPr>
        <w:t>met</w:t>
      </w:r>
      <w:r w:rsidR="00FE0C1E" w:rsidRPr="00F5565A">
        <w:rPr>
          <w:rFonts w:cstheme="minorHAnsi"/>
        </w:rPr>
        <w:t xml:space="preserve"> </w:t>
      </w:r>
      <w:r w:rsidR="00D0050D" w:rsidRPr="00F5565A">
        <w:rPr>
          <w:rFonts w:cstheme="minorHAnsi"/>
        </w:rPr>
        <w:t>40 euro als forfaitaire inningskost, onverminderd de reële inningskosten</w:t>
      </w:r>
      <w:bookmarkEnd w:id="6"/>
      <w:r w:rsidR="00D0050D" w:rsidRPr="00F5565A">
        <w:rPr>
          <w:rFonts w:cstheme="minorHAnsi"/>
        </w:rPr>
        <w:t xml:space="preserve">. </w:t>
      </w:r>
    </w:p>
    <w:p w14:paraId="7E54D432" w14:textId="77777777" w:rsidR="00D0050D" w:rsidRPr="00F5565A" w:rsidRDefault="00D0050D" w:rsidP="00924139">
      <w:pPr>
        <w:pStyle w:val="NoSpacing"/>
        <w:jc w:val="both"/>
        <w:rPr>
          <w:rFonts w:cstheme="minorHAnsi"/>
          <w:highlight w:val="lightGray"/>
        </w:rPr>
      </w:pPr>
    </w:p>
    <w:p w14:paraId="034724E0" w14:textId="14A85F0E" w:rsidR="00D0050D" w:rsidRPr="00F5565A" w:rsidRDefault="00D0050D" w:rsidP="00924139">
      <w:pPr>
        <w:pStyle w:val="NoSpacing"/>
        <w:jc w:val="both"/>
        <w:rPr>
          <w:rFonts w:cstheme="minorHAnsi"/>
        </w:rPr>
      </w:pPr>
      <w:r w:rsidRPr="00F5565A">
        <w:rPr>
          <w:rFonts w:cstheme="minorHAnsi"/>
          <w:highlight w:val="lightGray"/>
        </w:rPr>
        <w:t>(</w:t>
      </w:r>
      <w:proofErr w:type="gramStart"/>
      <w:r w:rsidRPr="00F5565A">
        <w:rPr>
          <w:rFonts w:cstheme="minorHAnsi"/>
          <w:highlight w:val="lightGray"/>
        </w:rPr>
        <w:t>opdrachtgever</w:t>
      </w:r>
      <w:proofErr w:type="gramEnd"/>
      <w:r w:rsidRPr="00F5565A">
        <w:rPr>
          <w:rFonts w:cstheme="minorHAnsi"/>
          <w:highlight w:val="lightGray"/>
        </w:rPr>
        <w:t xml:space="preserve"> in privéleven</w:t>
      </w:r>
      <w:r w:rsidR="00025E5F" w:rsidRPr="00F5565A">
        <w:rPr>
          <w:rFonts w:cstheme="minorHAnsi"/>
          <w:highlight w:val="lightGray"/>
        </w:rPr>
        <w:t xml:space="preserve"> </w:t>
      </w:r>
      <w:bookmarkStart w:id="7" w:name="_Hlk206773475"/>
      <w:r w:rsidR="00025E5F" w:rsidRPr="00F5565A">
        <w:rPr>
          <w:rFonts w:cstheme="minorHAnsi"/>
          <w:highlight w:val="lightGray"/>
        </w:rPr>
        <w:t>wettelijke bescherming Boek XIX WER</w:t>
      </w:r>
      <w:bookmarkEnd w:id="7"/>
      <w:r w:rsidR="00025E5F" w:rsidRPr="00F5565A">
        <w:rPr>
          <w:rFonts w:cstheme="minorHAnsi"/>
          <w:highlight w:val="lightGray"/>
        </w:rPr>
        <w:t>)</w:t>
      </w:r>
    </w:p>
    <w:p w14:paraId="5B5E57CD" w14:textId="4B1F63D0" w:rsidR="00D0050D" w:rsidRPr="00F5565A" w:rsidRDefault="00D0050D" w:rsidP="00924139">
      <w:pPr>
        <w:pStyle w:val="NoSpacing"/>
        <w:jc w:val="both"/>
        <w:rPr>
          <w:rFonts w:cstheme="minorHAnsi"/>
          <w:highlight w:val="lightGray"/>
          <w:lang w:val="nl-BE"/>
        </w:rPr>
      </w:pPr>
      <w:r w:rsidRPr="00F5565A">
        <w:rPr>
          <w:rFonts w:cstheme="minorHAnsi"/>
          <w:highlight w:val="lightGray"/>
        </w:rPr>
        <w:t xml:space="preserve">Bij </w:t>
      </w:r>
      <w:r w:rsidR="00F112EB" w:rsidRPr="00F5565A">
        <w:rPr>
          <w:rFonts w:cstheme="minorHAnsi"/>
          <w:highlight w:val="lightGray"/>
        </w:rPr>
        <w:t>een niet</w:t>
      </w:r>
      <w:r w:rsidR="00D22B42">
        <w:rPr>
          <w:rFonts w:cstheme="minorHAnsi"/>
          <w:highlight w:val="lightGray"/>
        </w:rPr>
        <w:t>-</w:t>
      </w:r>
      <w:r w:rsidR="00F112EB" w:rsidRPr="00F5565A">
        <w:rPr>
          <w:rFonts w:cstheme="minorHAnsi"/>
          <w:highlight w:val="lightGray"/>
        </w:rPr>
        <w:t xml:space="preserve">tijdige betaling worden de sommen vanaf 15 dagen na de ingebrekestelling vermeerderd met een contractuele moratoire interest gelijk aan de referentie-rentevoet van de ECB + 8 % en met een schadeloosstelling van 20 tot 65 euro volgens de wettelijke barema’s </w:t>
      </w:r>
      <w:proofErr w:type="gramStart"/>
      <w:r w:rsidR="00F112EB" w:rsidRPr="00F5565A">
        <w:rPr>
          <w:rFonts w:cstheme="minorHAnsi"/>
          <w:highlight w:val="lightGray"/>
        </w:rPr>
        <w:t>inzake</w:t>
      </w:r>
      <w:proofErr w:type="gramEnd"/>
      <w:r w:rsidR="00F112EB" w:rsidRPr="00F5565A">
        <w:rPr>
          <w:rFonts w:cstheme="minorHAnsi"/>
          <w:highlight w:val="lightGray"/>
        </w:rPr>
        <w:t xml:space="preserve"> het verschuldigde saldo</w:t>
      </w:r>
      <w:r w:rsidRPr="00F5565A">
        <w:rPr>
          <w:rFonts w:cstheme="minorHAnsi"/>
          <w:highlight w:val="lightGray"/>
        </w:rPr>
        <w:t>.</w:t>
      </w:r>
    </w:p>
    <w:p w14:paraId="4D5B36AE" w14:textId="77777777" w:rsidR="00D0050D" w:rsidRPr="008F7B39" w:rsidRDefault="00D0050D" w:rsidP="00D0050D">
      <w:pPr>
        <w:pStyle w:val="NoSpacing"/>
        <w:ind w:left="708"/>
        <w:jc w:val="both"/>
        <w:rPr>
          <w:rFonts w:cstheme="minorHAnsi"/>
          <w:sz w:val="24"/>
          <w:szCs w:val="24"/>
        </w:rPr>
      </w:pPr>
    </w:p>
    <w:p w14:paraId="17762653" w14:textId="0195B94F" w:rsidR="00D05D7C" w:rsidRPr="00D05D7C" w:rsidRDefault="00BD7E36" w:rsidP="00251FB6">
      <w:pPr>
        <w:pStyle w:val="Heading2"/>
        <w:numPr>
          <w:ilvl w:val="1"/>
          <w:numId w:val="1"/>
        </w:numPr>
        <w:ind w:left="720"/>
        <w:rPr>
          <w:sz w:val="24"/>
          <w:szCs w:val="24"/>
          <w:lang w:val="nl-BE"/>
        </w:rPr>
      </w:pPr>
      <w:bookmarkStart w:id="8" w:name="_Hlk134020917"/>
      <w:r w:rsidRPr="00D05D7C">
        <w:rPr>
          <w:sz w:val="24"/>
          <w:szCs w:val="24"/>
          <w:lang w:val="nl-BE"/>
        </w:rPr>
        <w:t>Schorsing</w:t>
      </w:r>
    </w:p>
    <w:p w14:paraId="18BC07E0" w14:textId="63A9CAB2" w:rsidR="00D05D7C" w:rsidRPr="00D22B42" w:rsidRDefault="00D0050D" w:rsidP="00D22B42">
      <w:pPr>
        <w:pStyle w:val="NoSpacing"/>
        <w:jc w:val="both"/>
      </w:pPr>
      <w:r w:rsidRPr="00D22B42">
        <w:t xml:space="preserve">Bij niet-betaling heeft de Dienstverlener het recht zijn prestaties te schorsen na kennisgeving met een termijn aan de Opdrachtgever, en een vergoeding voor zijn inkomstenverlies of kosten voor zijn hulppersoneel tijdens de schorsing te vorderen. </w:t>
      </w:r>
      <w:bookmarkStart w:id="9" w:name="_Toc479848161"/>
      <w:bookmarkEnd w:id="8"/>
    </w:p>
    <w:p w14:paraId="5E618BBC" w14:textId="77777777" w:rsidR="00F5565A" w:rsidRPr="00D05D7C" w:rsidRDefault="00F5565A" w:rsidP="00D05D7C">
      <w:pPr>
        <w:pStyle w:val="NoSpacing"/>
        <w:ind w:left="360"/>
        <w:jc w:val="both"/>
        <w:rPr>
          <w:sz w:val="24"/>
          <w:szCs w:val="24"/>
        </w:rPr>
      </w:pPr>
    </w:p>
    <w:p w14:paraId="6F81335F" w14:textId="04DDC0F7" w:rsidR="00721D75" w:rsidRPr="00216C3C" w:rsidRDefault="00721D75" w:rsidP="00D05D7C">
      <w:pPr>
        <w:pStyle w:val="Heading2"/>
        <w:numPr>
          <w:ilvl w:val="0"/>
          <w:numId w:val="1"/>
        </w:numPr>
        <w:rPr>
          <w:sz w:val="32"/>
          <w:szCs w:val="32"/>
          <w:lang w:val="nl-BE"/>
        </w:rPr>
      </w:pPr>
      <w:r w:rsidRPr="00216C3C">
        <w:rPr>
          <w:sz w:val="32"/>
          <w:szCs w:val="32"/>
          <w:lang w:val="nl-BE"/>
        </w:rPr>
        <w:t>V</w:t>
      </w:r>
      <w:r w:rsidR="00216C3C" w:rsidRPr="00216C3C">
        <w:rPr>
          <w:sz w:val="32"/>
          <w:szCs w:val="32"/>
          <w:lang w:val="nl-BE"/>
        </w:rPr>
        <w:t>erzekering van de Dienstverlener</w:t>
      </w:r>
      <w:bookmarkEnd w:id="9"/>
    </w:p>
    <w:p w14:paraId="4A9CA9F0" w14:textId="50F34B96" w:rsidR="00721D75" w:rsidRPr="003A5FF4" w:rsidRDefault="00721D75" w:rsidP="00D22B42">
      <w:pPr>
        <w:pStyle w:val="NoSpacing"/>
        <w:jc w:val="both"/>
      </w:pPr>
      <w:r w:rsidRPr="003A5FF4">
        <w:t>De professionele burgerlijke beroepsaansprakelijkheid is gedekt door een verzekering, volgens de regelgeving over de verplichte verzekering beroepsaansprakelijkheid van de bouwactoren die intellectuele prestaties leveren</w:t>
      </w:r>
      <w:r w:rsidR="0015139E" w:rsidRPr="003A5FF4">
        <w:t>,</w:t>
      </w:r>
      <w:r w:rsidRPr="003A5FF4">
        <w:t xml:space="preserve"> bij de verzekeringsmaatschappij </w:t>
      </w:r>
      <w:r w:rsidRPr="00CF2A39">
        <w:rPr>
          <w:iCs/>
        </w:rPr>
        <w:t>AR-CO</w:t>
      </w:r>
      <w:r w:rsidRPr="003A5FF4">
        <w:rPr>
          <w:i/>
        </w:rPr>
        <w:t xml:space="preserve">, </w:t>
      </w:r>
      <w:proofErr w:type="spellStart"/>
      <w:r w:rsidRPr="003A5FF4">
        <w:rPr>
          <w:iCs/>
        </w:rPr>
        <w:t>Tasson</w:t>
      </w:r>
      <w:r w:rsidR="0015139E" w:rsidRPr="003A5FF4">
        <w:rPr>
          <w:iCs/>
        </w:rPr>
        <w:t>-</w:t>
      </w:r>
      <w:r w:rsidRPr="003A5FF4">
        <w:rPr>
          <w:iCs/>
        </w:rPr>
        <w:t>Snelstraat</w:t>
      </w:r>
      <w:proofErr w:type="spellEnd"/>
      <w:r w:rsidRPr="003A5FF4">
        <w:rPr>
          <w:iCs/>
        </w:rPr>
        <w:t xml:space="preserve"> 22, 1060 Brussel, tel. 02</w:t>
      </w:r>
      <w:r w:rsidR="003C7E36">
        <w:rPr>
          <w:iCs/>
        </w:rPr>
        <w:t xml:space="preserve"> </w:t>
      </w:r>
      <w:r w:rsidRPr="003A5FF4">
        <w:rPr>
          <w:iCs/>
        </w:rPr>
        <w:t>538 66 33, e</w:t>
      </w:r>
      <w:r w:rsidR="00D22B42">
        <w:rPr>
          <w:iCs/>
        </w:rPr>
        <w:t>-</w:t>
      </w:r>
      <w:r w:rsidRPr="003A5FF4">
        <w:rPr>
          <w:iCs/>
        </w:rPr>
        <w:t xml:space="preserve">mail </w:t>
      </w:r>
      <w:hyperlink r:id="rId8" w:history="1">
        <w:r w:rsidR="0015139E" w:rsidRPr="003A5FF4">
          <w:rPr>
            <w:rStyle w:val="Hyperlink"/>
            <w:iCs/>
          </w:rPr>
          <w:t>info@ar-co.be</w:t>
        </w:r>
      </w:hyperlink>
      <w:r w:rsidR="0015139E" w:rsidRPr="003A5FF4">
        <w:rPr>
          <w:iCs/>
        </w:rPr>
        <w:t xml:space="preserve"> </w:t>
      </w:r>
      <w:r w:rsidRPr="003A5FF4">
        <w:rPr>
          <w:iCs/>
        </w:rPr>
        <w:t>,</w:t>
      </w:r>
      <w:r w:rsidRPr="003A5FF4">
        <w:t xml:space="preserve"> onder het polisnummer DP xxx. </w:t>
      </w:r>
    </w:p>
    <w:p w14:paraId="64AA8F05" w14:textId="77777777" w:rsidR="00F5565A" w:rsidRPr="003A5FF4" w:rsidRDefault="00F5565A" w:rsidP="00D22B42">
      <w:pPr>
        <w:pStyle w:val="NoSpacing"/>
        <w:jc w:val="both"/>
      </w:pPr>
    </w:p>
    <w:p w14:paraId="604743CD" w14:textId="5F3A8FC6" w:rsidR="00EF5DD7" w:rsidRPr="003A5FF4" w:rsidRDefault="00EF5DD7" w:rsidP="00D22B42">
      <w:pPr>
        <w:pStyle w:val="NoSpacing"/>
        <w:jc w:val="both"/>
      </w:pPr>
      <w:r w:rsidRPr="003A5FF4">
        <w:t>De geografische dekking geldt voor België.</w:t>
      </w:r>
    </w:p>
    <w:p w14:paraId="773041B6" w14:textId="77777777" w:rsidR="00721D75" w:rsidRPr="003A5FF4" w:rsidRDefault="00721D75" w:rsidP="00D22B42">
      <w:pPr>
        <w:pStyle w:val="NoSpacing"/>
      </w:pPr>
    </w:p>
    <w:p w14:paraId="1155E80B" w14:textId="1C5ECB4D" w:rsidR="00721D75" w:rsidRPr="003A5FF4" w:rsidRDefault="00721D75" w:rsidP="00D22B42">
      <w:pPr>
        <w:pStyle w:val="NoSpacing"/>
      </w:pPr>
      <w:r w:rsidRPr="003A5FF4">
        <w:t xml:space="preserve">De waarborgen zijn: </w:t>
      </w:r>
    </w:p>
    <w:p w14:paraId="27B3AA77" w14:textId="5BEEB774" w:rsidR="00721D75" w:rsidRPr="003A5FF4" w:rsidRDefault="003F227D" w:rsidP="003C7E36">
      <w:pPr>
        <w:pStyle w:val="NoSpacing"/>
        <w:numPr>
          <w:ilvl w:val="0"/>
          <w:numId w:val="8"/>
        </w:numPr>
      </w:pPr>
      <w:r w:rsidRPr="003A5FF4">
        <w:lastRenderedPageBreak/>
        <w:t>De</w:t>
      </w:r>
      <w:r w:rsidR="00721D75" w:rsidRPr="003A5FF4">
        <w:t xml:space="preserve"> contractuele aansprakelijkheid t.a.v. de Opdrachtgever, en de buitencontractuele aansprakelijkheid ten aanzien van derden</w:t>
      </w:r>
      <w:r w:rsidR="002F33DC" w:rsidRPr="003A5FF4">
        <w:t xml:space="preserve"> in het kader van de professionele activiteit</w:t>
      </w:r>
      <w:r w:rsidR="00721D75" w:rsidRPr="003A5FF4">
        <w:t>,</w:t>
      </w:r>
    </w:p>
    <w:p w14:paraId="329F611C" w14:textId="0E9D71C4" w:rsidR="00721D75" w:rsidRPr="003A5FF4" w:rsidRDefault="00721D75" w:rsidP="003C7E36">
      <w:pPr>
        <w:pStyle w:val="NoSpacing"/>
        <w:numPr>
          <w:ilvl w:val="0"/>
          <w:numId w:val="8"/>
        </w:numPr>
      </w:pPr>
      <w:r w:rsidRPr="003A5FF4">
        <w:t xml:space="preserve">Verzekerde bedragen: </w:t>
      </w:r>
      <w:r w:rsidR="00F5565A" w:rsidRPr="003A5FF4">
        <w:br/>
      </w:r>
      <w:r w:rsidRPr="003A5FF4">
        <w:t>500.000 euro</w:t>
      </w:r>
      <w:r w:rsidR="002F33DC" w:rsidRPr="003A5FF4">
        <w:t xml:space="preserve"> voor materiële schade, </w:t>
      </w:r>
      <w:r w:rsidR="00F5565A" w:rsidRPr="003A5FF4">
        <w:br/>
      </w:r>
      <w:r w:rsidR="002F33DC" w:rsidRPr="003A5FF4">
        <w:t xml:space="preserve">1.500.000 euro voor lichamelijke schade, </w:t>
      </w:r>
      <w:r w:rsidR="00F5565A" w:rsidRPr="003A5FF4">
        <w:br/>
      </w:r>
      <w:r w:rsidR="002F33DC" w:rsidRPr="003A5FF4">
        <w:t>10.000 euro voor een toevert</w:t>
      </w:r>
      <w:r w:rsidR="0015139E" w:rsidRPr="003A5FF4">
        <w:t>r</w:t>
      </w:r>
      <w:r w:rsidR="002F33DC" w:rsidRPr="003A5FF4">
        <w:t>ouwd voorwerp.</w:t>
      </w:r>
    </w:p>
    <w:p w14:paraId="3F371016" w14:textId="77777777" w:rsidR="00F5565A" w:rsidRPr="003A5FF4" w:rsidRDefault="00F5565A" w:rsidP="00F5565A">
      <w:pPr>
        <w:pStyle w:val="NoSpacing"/>
        <w:ind w:left="720"/>
      </w:pPr>
    </w:p>
    <w:p w14:paraId="28700C59" w14:textId="77777777" w:rsidR="00456E67" w:rsidRPr="003A5FF4" w:rsidRDefault="003F227D" w:rsidP="00456E67">
      <w:pPr>
        <w:pStyle w:val="NoSpacing"/>
        <w:rPr>
          <w:color w:val="00B050"/>
        </w:rPr>
      </w:pPr>
      <w:r w:rsidRPr="003A5FF4">
        <w:rPr>
          <w:color w:val="00B050"/>
        </w:rPr>
        <w:t>Stabiliteitsingenieurs</w:t>
      </w:r>
      <w:r w:rsidR="00721D75" w:rsidRPr="003A5FF4">
        <w:rPr>
          <w:color w:val="00B050"/>
        </w:rPr>
        <w:t xml:space="preserve">: </w:t>
      </w:r>
    </w:p>
    <w:p w14:paraId="33CF9C0A" w14:textId="3EE7C753" w:rsidR="003C7E36" w:rsidRDefault="00456E67" w:rsidP="003C7E36">
      <w:pPr>
        <w:pStyle w:val="NoSpacing"/>
        <w:rPr>
          <w:rFonts w:cstheme="minorHAnsi"/>
          <w:color w:val="00B050"/>
          <w:lang w:val="nl-BE"/>
        </w:rPr>
      </w:pPr>
      <w:r w:rsidRPr="003A5FF4">
        <w:rPr>
          <w:rFonts w:cstheme="minorHAnsi"/>
          <w:b/>
          <w:bCs/>
          <w:color w:val="00B050"/>
          <w:lang w:val="nl-BE"/>
        </w:rPr>
        <w:t>D</w:t>
      </w:r>
      <w:r w:rsidR="00721D75" w:rsidRPr="003A5FF4">
        <w:rPr>
          <w:rFonts w:cstheme="minorHAnsi"/>
          <w:b/>
          <w:bCs/>
          <w:color w:val="00B050"/>
          <w:lang w:val="nl-BE"/>
        </w:rPr>
        <w:t xml:space="preserve">e aansprakelijkheid voor woningbouw in België </w:t>
      </w:r>
      <w:r w:rsidR="00721D75" w:rsidRPr="003A5FF4">
        <w:rPr>
          <w:rFonts w:cstheme="minorHAnsi"/>
          <w:color w:val="00B050"/>
          <w:lang w:val="nl-BE"/>
        </w:rPr>
        <w:t xml:space="preserve">omvat, volgens de Wet van 31 mei 2017, de contractuele aansprakelijkheid voor ernstige gebreken die de stabiliteit of de stevigheid van het Bouwwerk alsook de wind- en waterdichtheid van de gesloten ruwbouw in gevaar brengen </w:t>
      </w:r>
      <w:bookmarkStart w:id="10" w:name="_Hlk119664706"/>
      <w:r w:rsidR="00721D75" w:rsidRPr="003A5FF4">
        <w:rPr>
          <w:rFonts w:cstheme="minorHAnsi"/>
          <w:color w:val="00B050"/>
          <w:lang w:val="nl-BE"/>
        </w:rPr>
        <w:t>tot 10 jaar na de oplevering</w:t>
      </w:r>
      <w:bookmarkEnd w:id="10"/>
      <w:r w:rsidR="0057693B" w:rsidRPr="003A5FF4">
        <w:rPr>
          <w:rFonts w:cstheme="minorHAnsi"/>
          <w:color w:val="00B050"/>
          <w:lang w:val="nl-BE"/>
        </w:rPr>
        <w:t xml:space="preserve">. Verzekerd </w:t>
      </w:r>
      <w:r w:rsidR="003F227D" w:rsidRPr="003A5FF4">
        <w:rPr>
          <w:rFonts w:cstheme="minorHAnsi"/>
          <w:color w:val="00B050"/>
          <w:lang w:val="nl-BE"/>
        </w:rPr>
        <w:t>bedrag:</w:t>
      </w:r>
      <w:r w:rsidR="0057693B" w:rsidRPr="003A5FF4">
        <w:rPr>
          <w:rFonts w:cstheme="minorHAnsi"/>
          <w:color w:val="00B050"/>
          <w:lang w:val="nl-BE"/>
        </w:rPr>
        <w:t xml:space="preserve"> 5</w:t>
      </w:r>
      <w:r w:rsidR="00833001" w:rsidRPr="003A5FF4">
        <w:rPr>
          <w:rFonts w:cstheme="minorHAnsi"/>
          <w:color w:val="00B050"/>
          <w:lang w:val="nl-BE"/>
        </w:rPr>
        <w:t>0</w:t>
      </w:r>
      <w:r w:rsidR="0057693B" w:rsidRPr="003A5FF4">
        <w:rPr>
          <w:rFonts w:cstheme="minorHAnsi"/>
          <w:color w:val="00B050"/>
          <w:lang w:val="nl-BE"/>
        </w:rPr>
        <w:t>0.000 euro</w:t>
      </w:r>
      <w:r w:rsidR="00833001" w:rsidRPr="003A5FF4">
        <w:rPr>
          <w:rFonts w:cstheme="minorHAnsi"/>
          <w:color w:val="00B050"/>
          <w:lang w:val="nl-BE"/>
        </w:rPr>
        <w:t xml:space="preserve"> wederopbouwwaarde</w:t>
      </w:r>
      <w:r w:rsidR="0057693B" w:rsidRPr="003A5FF4">
        <w:rPr>
          <w:rFonts w:cstheme="minorHAnsi"/>
          <w:color w:val="00B050"/>
          <w:lang w:val="nl-BE"/>
        </w:rPr>
        <w:t xml:space="preserve">. </w:t>
      </w:r>
      <w:bookmarkStart w:id="11" w:name="_Toc479848167"/>
    </w:p>
    <w:p w14:paraId="5CD69357" w14:textId="77777777" w:rsidR="003C7E36" w:rsidRPr="003C7E36" w:rsidRDefault="003C7E36" w:rsidP="003C7E36">
      <w:pPr>
        <w:pStyle w:val="NoSpacing"/>
        <w:rPr>
          <w:rFonts w:cstheme="minorHAnsi"/>
          <w:color w:val="00B050"/>
          <w:lang w:val="nl-BE"/>
        </w:rPr>
      </w:pPr>
    </w:p>
    <w:p w14:paraId="6582A99D" w14:textId="2A0EDEBA" w:rsidR="003C7E36" w:rsidRDefault="00EF5DD7" w:rsidP="003C7E36">
      <w:pPr>
        <w:pStyle w:val="Heading2"/>
        <w:numPr>
          <w:ilvl w:val="0"/>
          <w:numId w:val="1"/>
        </w:numPr>
        <w:rPr>
          <w:sz w:val="32"/>
          <w:szCs w:val="32"/>
          <w:lang w:val="nl-NL"/>
        </w:rPr>
      </w:pPr>
      <w:r w:rsidRPr="003C7E36">
        <w:rPr>
          <w:sz w:val="32"/>
          <w:szCs w:val="32"/>
          <w:lang w:val="nl-NL"/>
        </w:rPr>
        <w:t>A</w:t>
      </w:r>
      <w:r w:rsidR="009E1458" w:rsidRPr="003C7E36">
        <w:rPr>
          <w:sz w:val="32"/>
          <w:szCs w:val="32"/>
          <w:lang w:val="nl-NL"/>
        </w:rPr>
        <w:t xml:space="preserve">ansprakelijkheid van de </w:t>
      </w:r>
      <w:r w:rsidR="00C67838" w:rsidRPr="003C7E36">
        <w:rPr>
          <w:sz w:val="32"/>
          <w:szCs w:val="32"/>
          <w:lang w:val="nl-NL"/>
        </w:rPr>
        <w:t>D</w:t>
      </w:r>
      <w:r w:rsidR="009E1458" w:rsidRPr="003C7E36">
        <w:rPr>
          <w:sz w:val="32"/>
          <w:szCs w:val="32"/>
          <w:lang w:val="nl-NL"/>
        </w:rPr>
        <w:t>ienstverlener</w:t>
      </w:r>
    </w:p>
    <w:p w14:paraId="09174AEE" w14:textId="4A200731" w:rsidR="00251FB6" w:rsidRDefault="00251FB6" w:rsidP="00251FB6">
      <w:pPr>
        <w:pStyle w:val="Heading2"/>
        <w:numPr>
          <w:ilvl w:val="1"/>
          <w:numId w:val="1"/>
        </w:numPr>
        <w:ind w:left="720"/>
        <w:rPr>
          <w:sz w:val="24"/>
          <w:szCs w:val="24"/>
          <w:lang w:val="nl-BE"/>
        </w:rPr>
      </w:pPr>
      <w:bookmarkStart w:id="12" w:name="_Hlk201058556"/>
      <w:r>
        <w:rPr>
          <w:sz w:val="24"/>
          <w:szCs w:val="24"/>
          <w:lang w:val="nl-BE"/>
        </w:rPr>
        <w:t>Inspanningsverbintenissen</w:t>
      </w:r>
    </w:p>
    <w:bookmarkEnd w:id="12"/>
    <w:p w14:paraId="65627D05" w14:textId="653FC32C" w:rsidR="00EF5DD7" w:rsidRPr="007C446C" w:rsidRDefault="00EF5DD7" w:rsidP="00251FB6">
      <w:pPr>
        <w:ind w:left="12"/>
        <w:jc w:val="both"/>
        <w:rPr>
          <w:lang w:val="nl-NL" w:eastAsia="fr-FR"/>
        </w:rPr>
      </w:pPr>
      <w:r w:rsidRPr="007C446C">
        <w:rPr>
          <w:lang w:val="nl-NL" w:eastAsia="fr-FR"/>
        </w:rPr>
        <w:t xml:space="preserve">De verplichtingen van de Dienstverlener zijn inspanningsverbintenissen. Een eventuele niet-nakoming van zijn verbintenissen en taken is slechts toerekenbaar </w:t>
      </w:r>
      <w:proofErr w:type="gramStart"/>
      <w:r w:rsidRPr="007C446C">
        <w:rPr>
          <w:lang w:val="nl-NL" w:eastAsia="fr-FR"/>
        </w:rPr>
        <w:t>indien</w:t>
      </w:r>
      <w:proofErr w:type="gramEnd"/>
      <w:r w:rsidRPr="007C446C">
        <w:rPr>
          <w:lang w:val="nl-NL" w:eastAsia="fr-FR"/>
        </w:rPr>
        <w:t xml:space="preserve"> hem een fout kan worden verweten volgens het criterium van de voorzichtige en redelijke persoon in dezelfde omstandigheden</w:t>
      </w:r>
      <w:r w:rsidR="0096462C" w:rsidRPr="007C446C">
        <w:rPr>
          <w:lang w:val="nl-NL" w:eastAsia="fr-FR"/>
        </w:rPr>
        <w:t xml:space="preserve"> geplaatst</w:t>
      </w:r>
      <w:r w:rsidRPr="007C446C">
        <w:rPr>
          <w:lang w:val="nl-NL" w:eastAsia="fr-FR"/>
        </w:rPr>
        <w:t>.</w:t>
      </w:r>
    </w:p>
    <w:p w14:paraId="28626BC3" w14:textId="054FF330" w:rsidR="00366CB6" w:rsidRPr="00251FB6" w:rsidRDefault="00366CB6" w:rsidP="00251FB6">
      <w:pPr>
        <w:pStyle w:val="Heading2"/>
        <w:numPr>
          <w:ilvl w:val="1"/>
          <w:numId w:val="1"/>
        </w:numPr>
        <w:ind w:left="720"/>
        <w:rPr>
          <w:sz w:val="24"/>
          <w:szCs w:val="24"/>
          <w:lang w:val="nl-BE"/>
        </w:rPr>
      </w:pPr>
      <w:bookmarkStart w:id="13" w:name="_Hlk201058995"/>
      <w:r w:rsidRPr="00251FB6">
        <w:rPr>
          <w:sz w:val="24"/>
          <w:szCs w:val="24"/>
          <w:lang w:val="nl-BE"/>
        </w:rPr>
        <w:t xml:space="preserve"> Hulppersonen: zelfstandige medewerkers </w:t>
      </w:r>
    </w:p>
    <w:bookmarkEnd w:id="13"/>
    <w:p w14:paraId="68099F19" w14:textId="24463F7E" w:rsidR="00366CB6" w:rsidRPr="00456E67" w:rsidRDefault="00366CB6" w:rsidP="00251FB6">
      <w:pPr>
        <w:ind w:left="12"/>
        <w:jc w:val="both"/>
        <w:rPr>
          <w:lang w:val="nl-NL" w:eastAsia="fr-FR"/>
        </w:rPr>
      </w:pPr>
      <w:r w:rsidRPr="00456E67">
        <w:rPr>
          <w:lang w:val="nl-NL" w:eastAsia="fr-FR"/>
        </w:rPr>
        <w:t>De partijen komen overeen dat het herstel van de schade veroorzaakt door de niet-nakoming van een contractuele verbintenis door een hulppersoon, binnen de wettelijke grenzen enkel grond is voor een contractuele of buitencontractuele aansprakelijkheidsvordering tegen de hoofdschuldenaar en geen grond voor een buitencontractuele aansprakelijkheidsvordering tegen de hulppersoon, zelfs niet wanneer de gebeurtenis die aan de oorsprong ligt van de schade ook een onrechtmatige daad vormt.</w:t>
      </w:r>
    </w:p>
    <w:p w14:paraId="39389E5D" w14:textId="1D2B548A" w:rsidR="00366CB6" w:rsidRPr="00251FB6" w:rsidRDefault="00366CB6" w:rsidP="00251FB6">
      <w:pPr>
        <w:pStyle w:val="Heading2"/>
        <w:numPr>
          <w:ilvl w:val="1"/>
          <w:numId w:val="1"/>
        </w:numPr>
        <w:ind w:left="720"/>
        <w:rPr>
          <w:sz w:val="24"/>
          <w:szCs w:val="24"/>
          <w:lang w:val="nl-BE"/>
        </w:rPr>
      </w:pPr>
      <w:r w:rsidRPr="00251FB6">
        <w:rPr>
          <w:sz w:val="24"/>
          <w:szCs w:val="24"/>
          <w:lang w:val="nl-BE"/>
        </w:rPr>
        <w:t xml:space="preserve"> </w:t>
      </w:r>
      <w:bookmarkStart w:id="14" w:name="_Hlk201059184"/>
      <w:r w:rsidR="005F7A35" w:rsidRPr="00251FB6">
        <w:rPr>
          <w:sz w:val="24"/>
          <w:szCs w:val="24"/>
          <w:lang w:val="nl-BE"/>
        </w:rPr>
        <w:t>Levering van de opdracht - oplevering</w:t>
      </w:r>
    </w:p>
    <w:bookmarkEnd w:id="14"/>
    <w:p w14:paraId="71B3AEAC" w14:textId="742A9039" w:rsidR="00572472" w:rsidRPr="001E1D25" w:rsidRDefault="00572472" w:rsidP="00251FB6">
      <w:pPr>
        <w:ind w:left="12"/>
        <w:jc w:val="both"/>
        <w:rPr>
          <w:lang w:val="nl-NL" w:eastAsia="fr-FR"/>
        </w:rPr>
      </w:pPr>
      <w:r w:rsidRPr="001E1D25">
        <w:rPr>
          <w:lang w:val="nl-NL" w:eastAsia="fr-FR"/>
        </w:rPr>
        <w:t>De levering van de studie of de uitvoering van de opdracht beëindig</w:t>
      </w:r>
      <w:r w:rsidR="00F460F8" w:rsidRPr="001E1D25">
        <w:rPr>
          <w:lang w:val="nl-NL" w:eastAsia="fr-FR"/>
        </w:rPr>
        <w:t>t</w:t>
      </w:r>
      <w:r w:rsidRPr="001E1D25">
        <w:rPr>
          <w:lang w:val="nl-NL" w:eastAsia="fr-FR"/>
        </w:rPr>
        <w:t xml:space="preserve"> de contractuele verbintenissen van de Dienstverlener</w:t>
      </w:r>
      <w:r w:rsidR="00B63ECF" w:rsidRPr="001E1D25">
        <w:rPr>
          <w:lang w:val="nl-NL" w:eastAsia="fr-FR"/>
        </w:rPr>
        <w:t>, met inbegrip van de zichtbare gebreken</w:t>
      </w:r>
      <w:r w:rsidRPr="001E1D25">
        <w:rPr>
          <w:lang w:val="nl-NL" w:eastAsia="fr-FR"/>
        </w:rPr>
        <w:t>.</w:t>
      </w:r>
    </w:p>
    <w:p w14:paraId="0870CA47" w14:textId="111EE174" w:rsidR="00943764" w:rsidRPr="001E1D25" w:rsidRDefault="00943764" w:rsidP="00251FB6">
      <w:pPr>
        <w:ind w:left="12"/>
        <w:jc w:val="both"/>
        <w:rPr>
          <w:color w:val="00B050"/>
          <w:lang w:val="nl-NL" w:eastAsia="fr-FR"/>
        </w:rPr>
      </w:pPr>
      <w:r w:rsidRPr="001E1D25">
        <w:rPr>
          <w:color w:val="00B050"/>
          <w:lang w:val="nl-NL" w:eastAsia="fr-FR"/>
        </w:rPr>
        <w:t>(</w:t>
      </w:r>
      <w:r w:rsidR="003F227D" w:rsidRPr="001E1D25">
        <w:rPr>
          <w:color w:val="00B050"/>
          <w:lang w:val="nl-NL" w:eastAsia="fr-FR"/>
        </w:rPr>
        <w:t>Stabiliteitsingenieur</w:t>
      </w:r>
      <w:r w:rsidR="001E1D25" w:rsidRPr="001E1D25">
        <w:rPr>
          <w:color w:val="00B050"/>
          <w:lang w:val="nl-NL" w:eastAsia="fr-FR"/>
        </w:rPr>
        <w:t xml:space="preserve"> – Ingenieur technieken - Binnenhuisarchitect</w:t>
      </w:r>
      <w:r w:rsidRPr="001E1D25">
        <w:rPr>
          <w:color w:val="00B050"/>
          <w:lang w:val="nl-NL" w:eastAsia="fr-FR"/>
        </w:rPr>
        <w:t>)</w:t>
      </w:r>
    </w:p>
    <w:p w14:paraId="2BB10AED" w14:textId="7D759F1A" w:rsidR="00862D45" w:rsidRPr="001E1D25" w:rsidRDefault="00862D45" w:rsidP="00251FB6">
      <w:pPr>
        <w:ind w:left="12"/>
        <w:jc w:val="both"/>
        <w:rPr>
          <w:color w:val="00B050"/>
          <w:lang w:eastAsia="fr-FR"/>
        </w:rPr>
      </w:pPr>
      <w:r w:rsidRPr="001E1D25">
        <w:rPr>
          <w:color w:val="00B050"/>
          <w:lang w:eastAsia="fr-FR"/>
        </w:rPr>
        <w:t>Zodra de werken zijn beëindigd, belegt de meest gerede Partij een vergadering met de betrokken aannemer en de Opdrachtgever om over te gaan tot de oplevering. Indien hij dit niet doet binnen de maand na het einde van de werken of bij de ingebruikname van het gebouw, of overgaat tot volledige betaling van alle facturen zonder enig schriftelijk voorbehoud of de afwerking verderzet, geldt dit als stilzwijgende aanvaarding door de Opdrachtgever.</w:t>
      </w:r>
    </w:p>
    <w:p w14:paraId="1CA4D4C9" w14:textId="168F33CA" w:rsidR="001E1D25" w:rsidRPr="001E1D25" w:rsidRDefault="00EF5DD7" w:rsidP="00251FB6">
      <w:pPr>
        <w:ind w:left="12"/>
        <w:jc w:val="both"/>
        <w:rPr>
          <w:color w:val="00B050"/>
          <w:lang w:val="nl-NL" w:eastAsia="fr-FR"/>
        </w:rPr>
      </w:pPr>
      <w:r w:rsidRPr="001E1D25">
        <w:rPr>
          <w:color w:val="00B050"/>
          <w:lang w:val="nl-NL" w:eastAsia="fr-FR"/>
        </w:rPr>
        <w:t xml:space="preserve">Vanaf de oplevering start de waarborg voor gebreken </w:t>
      </w:r>
      <w:r w:rsidRPr="001E1D25">
        <w:rPr>
          <w:color w:val="00B050"/>
          <w:u w:val="single"/>
          <w:lang w:val="nl-NL" w:eastAsia="fr-FR"/>
        </w:rPr>
        <w:t>in de ruwbouw of in de diverse afwerkingen</w:t>
      </w:r>
      <w:r w:rsidRPr="001E1D25">
        <w:rPr>
          <w:color w:val="00B050"/>
          <w:lang w:val="nl-NL" w:eastAsia="fr-FR"/>
        </w:rPr>
        <w:t xml:space="preserve"> gedurende 3 jaar. De Opdrachtgever moet de fout van de Dienstverlener aantonen bij het ontstaan van </w:t>
      </w:r>
      <w:r w:rsidR="00B63ECF" w:rsidRPr="001E1D25">
        <w:rPr>
          <w:color w:val="00B050"/>
          <w:lang w:val="nl-NL" w:eastAsia="fr-FR"/>
        </w:rPr>
        <w:t>een</w:t>
      </w:r>
      <w:r w:rsidR="00BE463C">
        <w:rPr>
          <w:color w:val="00B050"/>
          <w:lang w:val="nl-NL" w:eastAsia="fr-FR"/>
        </w:rPr>
        <w:t xml:space="preserve"> </w:t>
      </w:r>
      <w:r w:rsidRPr="001E1D25">
        <w:rPr>
          <w:color w:val="00B050"/>
          <w:lang w:val="nl-NL" w:eastAsia="fr-FR"/>
        </w:rPr>
        <w:t xml:space="preserve">gebrek. Hij moet de Dienstverlener binnen de 6 maanden na vaststelling van </w:t>
      </w:r>
      <w:r w:rsidR="00B63ECF" w:rsidRPr="001E1D25">
        <w:rPr>
          <w:color w:val="00B050"/>
          <w:lang w:val="nl-NL" w:eastAsia="fr-FR"/>
        </w:rPr>
        <w:t>een</w:t>
      </w:r>
      <w:r w:rsidRPr="001E1D25">
        <w:rPr>
          <w:color w:val="00B050"/>
          <w:lang w:val="nl-NL" w:eastAsia="fr-FR"/>
        </w:rPr>
        <w:t xml:space="preserve"> gebrek, en maximaal tot 6 maanden na de waarborgperiode hiervoor in</w:t>
      </w:r>
      <w:r w:rsidR="001E1D25" w:rsidRPr="001E1D25">
        <w:rPr>
          <w:color w:val="00B050"/>
          <w:lang w:val="nl-NL" w:eastAsia="fr-FR"/>
        </w:rPr>
        <w:t xml:space="preserve"> </w:t>
      </w:r>
      <w:r w:rsidRPr="001E1D25">
        <w:rPr>
          <w:color w:val="00B050"/>
          <w:lang w:val="nl-NL" w:eastAsia="fr-FR"/>
        </w:rPr>
        <w:t>gebreke stellen.</w:t>
      </w:r>
    </w:p>
    <w:p w14:paraId="71400465" w14:textId="23933095" w:rsidR="00EF5DD7" w:rsidRPr="001E1D25" w:rsidRDefault="001E1D25" w:rsidP="00251FB6">
      <w:pPr>
        <w:ind w:left="12"/>
        <w:jc w:val="both"/>
        <w:rPr>
          <w:color w:val="00B050"/>
          <w:lang w:val="nl-NL" w:eastAsia="fr-FR"/>
        </w:rPr>
      </w:pPr>
      <w:r w:rsidRPr="001E1D25">
        <w:rPr>
          <w:color w:val="00B050"/>
          <w:lang w:val="nl-NL" w:eastAsia="fr-FR"/>
        </w:rPr>
        <w:t>(Stabiliteitsingenieur)</w:t>
      </w:r>
      <w:r w:rsidR="00EF5DD7" w:rsidRPr="001E1D25">
        <w:rPr>
          <w:color w:val="00B050"/>
          <w:lang w:val="nl-NL" w:eastAsia="fr-FR"/>
        </w:rPr>
        <w:t xml:space="preserve"> </w:t>
      </w:r>
      <w:r w:rsidR="00CF2A39">
        <w:rPr>
          <w:color w:val="00B050"/>
          <w:lang w:val="nl-NL" w:eastAsia="fr-FR"/>
        </w:rPr>
        <w:br/>
      </w:r>
      <w:proofErr w:type="gramStart"/>
      <w:r w:rsidRPr="001E1D25">
        <w:rPr>
          <w:color w:val="00B050"/>
          <w:lang w:val="nl-NL" w:eastAsia="fr-FR"/>
        </w:rPr>
        <w:t>Conform</w:t>
      </w:r>
      <w:proofErr w:type="gramEnd"/>
      <w:r w:rsidRPr="001E1D25">
        <w:rPr>
          <w:color w:val="00B050"/>
          <w:lang w:val="nl-NL" w:eastAsia="fr-FR"/>
        </w:rPr>
        <w:t xml:space="preserve"> de wet van</w:t>
      </w:r>
      <w:r w:rsidRPr="001E1D25">
        <w:rPr>
          <w:rFonts w:cstheme="minorHAnsi"/>
          <w:color w:val="00B050"/>
          <w:lang w:val="nl-NL"/>
        </w:rPr>
        <w:t xml:space="preserve"> </w:t>
      </w:r>
      <w:r w:rsidRPr="001E1D25">
        <w:rPr>
          <w:color w:val="00B050"/>
          <w:lang w:val="nl-NL" w:eastAsia="fr-FR"/>
        </w:rPr>
        <w:t>31 mei 2017 kan d</w:t>
      </w:r>
      <w:r w:rsidR="00EF5DD7" w:rsidRPr="001E1D25">
        <w:rPr>
          <w:color w:val="00B050"/>
          <w:lang w:val="nl-NL" w:eastAsia="fr-FR"/>
        </w:rPr>
        <w:t xml:space="preserve">e </w:t>
      </w:r>
      <w:r w:rsidR="00943764" w:rsidRPr="001E1D25">
        <w:rPr>
          <w:color w:val="00B050"/>
          <w:lang w:val="nl-NL" w:eastAsia="fr-FR"/>
        </w:rPr>
        <w:t>stabiliteits</w:t>
      </w:r>
      <w:r w:rsidR="00FE0C1E" w:rsidRPr="001E1D25">
        <w:rPr>
          <w:color w:val="00B050"/>
          <w:lang w:val="nl-NL" w:eastAsia="fr-FR"/>
        </w:rPr>
        <w:t>i</w:t>
      </w:r>
      <w:r w:rsidR="00EF5DD7" w:rsidRPr="001E1D25">
        <w:rPr>
          <w:color w:val="00B050"/>
          <w:lang w:val="nl-NL" w:eastAsia="fr-FR"/>
        </w:rPr>
        <w:t xml:space="preserve">ngenieur ook gedurende tien jaar </w:t>
      </w:r>
      <w:r w:rsidR="00EF5DD7" w:rsidRPr="001E1D25">
        <w:rPr>
          <w:color w:val="00B050"/>
          <w:lang w:eastAsia="fr-FR"/>
        </w:rPr>
        <w:t xml:space="preserve">na de oplevering van de uitvoeringsfase van de ruwbouwwerken </w:t>
      </w:r>
      <w:r w:rsidR="00EF5DD7" w:rsidRPr="001E1D25">
        <w:rPr>
          <w:color w:val="00B050"/>
          <w:lang w:val="nl-NL" w:eastAsia="fr-FR"/>
        </w:rPr>
        <w:t xml:space="preserve">aangesproken worden voor zijn fout bij het ontstaan van </w:t>
      </w:r>
      <w:r w:rsidR="00EF5DD7" w:rsidRPr="001E1D25">
        <w:rPr>
          <w:color w:val="00B050"/>
          <w:lang w:eastAsia="fr-FR"/>
        </w:rPr>
        <w:t xml:space="preserve">ernstige gebreken die de soliditeit, stabiliteit en waterdichtheid van de gesloten ruwbouw aantasten </w:t>
      </w:r>
      <w:r w:rsidR="00EF5DD7" w:rsidRPr="001E1D25">
        <w:rPr>
          <w:color w:val="00B050"/>
          <w:lang w:val="nl-NL" w:eastAsia="fr-FR"/>
        </w:rPr>
        <w:t>(zoals bepaald in de artikelen 1792 en 2270 van het oud Burgerlijk Wetboek).</w:t>
      </w:r>
    </w:p>
    <w:p w14:paraId="4C06EE34" w14:textId="70AC1F07" w:rsidR="005F7A35" w:rsidRPr="00251FB6" w:rsidRDefault="005F7A35" w:rsidP="00251FB6">
      <w:pPr>
        <w:pStyle w:val="Heading2"/>
        <w:numPr>
          <w:ilvl w:val="1"/>
          <w:numId w:val="1"/>
        </w:numPr>
        <w:ind w:left="720"/>
        <w:rPr>
          <w:sz w:val="24"/>
          <w:szCs w:val="24"/>
          <w:lang w:val="nl-BE"/>
        </w:rPr>
      </w:pPr>
      <w:r w:rsidRPr="00251FB6">
        <w:rPr>
          <w:sz w:val="24"/>
          <w:szCs w:val="24"/>
          <w:lang w:val="nl-BE"/>
        </w:rPr>
        <w:t xml:space="preserve"> Herstel van schade en schadebeperking</w:t>
      </w:r>
    </w:p>
    <w:p w14:paraId="37AC96B9" w14:textId="7DBDD870" w:rsidR="00572472" w:rsidRPr="001E1D25" w:rsidRDefault="00572472" w:rsidP="00251FB6">
      <w:pPr>
        <w:jc w:val="both"/>
        <w:rPr>
          <w:lang w:val="nl-NL" w:eastAsia="fr-FR"/>
        </w:rPr>
      </w:pPr>
      <w:proofErr w:type="gramStart"/>
      <w:r w:rsidRPr="001E1D25">
        <w:rPr>
          <w:lang w:val="nl-NL" w:eastAsia="fr-FR"/>
        </w:rPr>
        <w:t>Indien</w:t>
      </w:r>
      <w:proofErr w:type="gramEnd"/>
      <w:r w:rsidRPr="001E1D25">
        <w:rPr>
          <w:lang w:val="nl-NL" w:eastAsia="fr-FR"/>
        </w:rPr>
        <w:t xml:space="preserve"> de Dienstverlener een bewezen fout beging, zal hij in de eerste plaats de persoonlijke taak opnieuw in natura uitvoeren of door de aannemer of technische expert laten uitvoeren. De Opdrachtgever kan hiervoor geen bijkomende vergoeding eisen.</w:t>
      </w:r>
    </w:p>
    <w:p w14:paraId="0673F25A" w14:textId="7C51AC54" w:rsidR="00572472" w:rsidRPr="001E1D25" w:rsidRDefault="00572472" w:rsidP="00251FB6">
      <w:pPr>
        <w:jc w:val="both"/>
        <w:rPr>
          <w:lang w:val="nl-NL" w:eastAsia="fr-FR"/>
        </w:rPr>
      </w:pPr>
      <w:proofErr w:type="gramStart"/>
      <w:r w:rsidRPr="001E1D25">
        <w:rPr>
          <w:lang w:val="nl-NL" w:eastAsia="fr-FR"/>
        </w:rPr>
        <w:lastRenderedPageBreak/>
        <w:t>Indien</w:t>
      </w:r>
      <w:proofErr w:type="gramEnd"/>
      <w:r w:rsidRPr="001E1D25">
        <w:rPr>
          <w:lang w:val="nl-NL" w:eastAsia="fr-FR"/>
        </w:rPr>
        <w:t xml:space="preserve"> een herstel in natura onmogelijk is, is de Dienstverlener uitsluitend gehouden tot de vergoeding van de redelijk voorzienbare, reële opgelopen materiële en immateriële schade.</w:t>
      </w:r>
    </w:p>
    <w:p w14:paraId="0D6472F0" w14:textId="19C378A1" w:rsidR="00572472" w:rsidRPr="001E1D25" w:rsidRDefault="00572472" w:rsidP="00251FB6">
      <w:pPr>
        <w:jc w:val="both"/>
        <w:rPr>
          <w:lang w:val="nl-NL" w:eastAsia="fr-FR"/>
        </w:rPr>
      </w:pPr>
      <w:r w:rsidRPr="001E1D25">
        <w:rPr>
          <w:lang w:val="nl-NL" w:eastAsia="fr-FR"/>
        </w:rPr>
        <w:t xml:space="preserve">De Opdrachtgever dient redelijke maatregelen te treffen om eventuele schadelijke gevolgen te voorkomen en te beperken. De redelijke kosten die hieraan werden besteed, kunnen bij fout van de Dienstverlener op hem worden verhaald. </w:t>
      </w:r>
      <w:proofErr w:type="gramStart"/>
      <w:r w:rsidRPr="001E1D25">
        <w:rPr>
          <w:lang w:val="nl-NL" w:eastAsia="fr-FR"/>
        </w:rPr>
        <w:t>Indien</w:t>
      </w:r>
      <w:proofErr w:type="gramEnd"/>
      <w:r w:rsidRPr="001E1D25">
        <w:rPr>
          <w:lang w:val="nl-NL" w:eastAsia="fr-FR"/>
        </w:rPr>
        <w:t xml:space="preserve"> de Opdrachtgever geen maatregelen neemt, ondanks een kennisgeving van de Dienstverlener hiertoe, </w:t>
      </w:r>
      <w:r w:rsidR="007C446C">
        <w:rPr>
          <w:lang w:val="nl-NL" w:eastAsia="fr-FR"/>
        </w:rPr>
        <w:t>is</w:t>
      </w:r>
      <w:r w:rsidRPr="001E1D25">
        <w:rPr>
          <w:lang w:val="nl-NL" w:eastAsia="fr-FR"/>
        </w:rPr>
        <w:t xml:space="preserve"> de schade die hieruit voortvloeit voor zijn rekening. </w:t>
      </w:r>
    </w:p>
    <w:p w14:paraId="49D32674" w14:textId="45FD91D1" w:rsidR="00B80A16" w:rsidRPr="003A5FF4" w:rsidRDefault="00B80A16" w:rsidP="00B80A16">
      <w:pPr>
        <w:pStyle w:val="Heading1"/>
        <w:numPr>
          <w:ilvl w:val="0"/>
          <w:numId w:val="1"/>
        </w:numPr>
        <w:rPr>
          <w:lang w:val="nl-NL"/>
        </w:rPr>
      </w:pPr>
      <w:r w:rsidRPr="003A5FF4">
        <w:rPr>
          <w:lang w:val="nl-NL"/>
        </w:rPr>
        <w:t>E</w:t>
      </w:r>
      <w:r w:rsidR="007C56C4" w:rsidRPr="003A5FF4">
        <w:rPr>
          <w:lang w:val="nl-NL"/>
        </w:rPr>
        <w:t>inde en verbreking van de overeenkomst</w:t>
      </w:r>
      <w:bookmarkEnd w:id="11"/>
    </w:p>
    <w:p w14:paraId="447716B8" w14:textId="0B8E8CF8" w:rsidR="00B80A16" w:rsidRPr="001E1D25" w:rsidRDefault="00B80A16" w:rsidP="00251FB6">
      <w:pPr>
        <w:pStyle w:val="NoSpacing"/>
        <w:jc w:val="both"/>
      </w:pPr>
      <w:r w:rsidRPr="001E1D25">
        <w:t xml:space="preserve">De overeenkomst eindigt met </w:t>
      </w:r>
      <w:r w:rsidR="00862D45" w:rsidRPr="001E1D25">
        <w:t>de uitvoering van de opdracht</w:t>
      </w:r>
      <w:r w:rsidR="00862D45" w:rsidRPr="001E1D25">
        <w:rPr>
          <w:i/>
          <w:iCs/>
          <w:color w:val="00B050"/>
        </w:rPr>
        <w:t xml:space="preserve">, </w:t>
      </w:r>
      <w:r w:rsidRPr="001E1D25">
        <w:rPr>
          <w:i/>
          <w:iCs/>
          <w:color w:val="00B050"/>
        </w:rPr>
        <w:t>de</w:t>
      </w:r>
      <w:r w:rsidR="00572472" w:rsidRPr="001E1D25">
        <w:rPr>
          <w:i/>
          <w:iCs/>
          <w:color w:val="00B050"/>
        </w:rPr>
        <w:t xml:space="preserve"> oplevering</w:t>
      </w:r>
      <w:r w:rsidR="00572472" w:rsidRPr="001E1D25">
        <w:rPr>
          <w:i/>
          <w:iCs/>
          <w:color w:val="92D050"/>
        </w:rPr>
        <w:t>,</w:t>
      </w:r>
      <w:r w:rsidR="00572472" w:rsidRPr="001E1D25">
        <w:rPr>
          <w:color w:val="92D050"/>
        </w:rPr>
        <w:t xml:space="preserve"> </w:t>
      </w:r>
      <w:r w:rsidR="00572472" w:rsidRPr="001E1D25">
        <w:t>met de opzeg of met de</w:t>
      </w:r>
      <w:r w:rsidRPr="001E1D25">
        <w:t xml:space="preserve"> betaling van het saldo van </w:t>
      </w:r>
      <w:r w:rsidR="00572472" w:rsidRPr="001E1D25">
        <w:t>de</w:t>
      </w:r>
      <w:r w:rsidRPr="001E1D25">
        <w:t xml:space="preserve"> verschuldigde </w:t>
      </w:r>
      <w:r w:rsidR="00572472" w:rsidRPr="001E1D25">
        <w:t>vergoeding</w:t>
      </w:r>
      <w:r w:rsidRPr="001E1D25">
        <w:t>.</w:t>
      </w:r>
    </w:p>
    <w:p w14:paraId="27AF5DDF" w14:textId="77777777" w:rsidR="00B80A16" w:rsidRPr="001E1D25" w:rsidRDefault="00B80A16" w:rsidP="00251FB6">
      <w:pPr>
        <w:pStyle w:val="NoSpacing"/>
        <w:jc w:val="both"/>
      </w:pPr>
    </w:p>
    <w:p w14:paraId="227FEE06" w14:textId="6D96156F" w:rsidR="00572472" w:rsidRPr="001E1D25" w:rsidRDefault="00572472" w:rsidP="00251FB6">
      <w:pPr>
        <w:pStyle w:val="NoSpacing"/>
        <w:jc w:val="both"/>
      </w:pPr>
      <w:bookmarkStart w:id="15" w:name="_Hlk119683729"/>
      <w:r w:rsidRPr="001E1D25">
        <w:t xml:space="preserve">De overeenkomst eindigt niet met het overlijden van de </w:t>
      </w:r>
      <w:bookmarkEnd w:id="15"/>
      <w:r w:rsidRPr="001E1D25">
        <w:t>Dienstverlener, noch met zijn</w:t>
      </w:r>
      <w:r w:rsidR="00F460F8" w:rsidRPr="001E1D25">
        <w:t xml:space="preserve"> toetreding </w:t>
      </w:r>
      <w:r w:rsidRPr="001E1D25">
        <w:t xml:space="preserve">tot een rechtspersoon, noch met de verkoop van het onroerend goed. </w:t>
      </w:r>
    </w:p>
    <w:p w14:paraId="5ADAC7F9" w14:textId="12A26785" w:rsidR="00B80A16" w:rsidRPr="001E1D25" w:rsidRDefault="00572472" w:rsidP="00251FB6">
      <w:pPr>
        <w:pStyle w:val="NoSpacing"/>
        <w:jc w:val="both"/>
        <w:rPr>
          <w:lang w:val="nl-BE"/>
        </w:rPr>
      </w:pPr>
      <w:r w:rsidRPr="001E1D25">
        <w:rPr>
          <w:lang w:val="nl-BE"/>
        </w:rPr>
        <w:t>De overeenkomst wordt bij overlijden overgedragen aan een door de Opdrachtgever en de rechtsopvolger</w:t>
      </w:r>
      <w:r w:rsidR="00F460F8" w:rsidRPr="001E1D25">
        <w:rPr>
          <w:lang w:val="nl-BE"/>
        </w:rPr>
        <w:t xml:space="preserve"> van de Dienstverlener</w:t>
      </w:r>
      <w:r w:rsidRPr="001E1D25">
        <w:rPr>
          <w:lang w:val="nl-BE"/>
        </w:rPr>
        <w:t xml:space="preserve"> gekozen </w:t>
      </w:r>
      <w:r w:rsidR="00F460F8" w:rsidRPr="001E1D25">
        <w:rPr>
          <w:lang w:val="nl-BE"/>
        </w:rPr>
        <w:t>derde</w:t>
      </w:r>
      <w:r w:rsidRPr="001E1D25">
        <w:rPr>
          <w:lang w:val="nl-BE"/>
        </w:rPr>
        <w:t xml:space="preserve">. De Opdrachtgever verbindt zich ertoe aan de rechtsopvolgers </w:t>
      </w:r>
      <w:r w:rsidR="00862D45" w:rsidRPr="001E1D25">
        <w:rPr>
          <w:lang w:val="nl-BE"/>
        </w:rPr>
        <w:t xml:space="preserve">het saldo van niet-betaalde facturen en </w:t>
      </w:r>
      <w:r w:rsidRPr="001E1D25">
        <w:rPr>
          <w:lang w:val="nl-BE"/>
        </w:rPr>
        <w:t>de vergoeding voor de gerealiseerde</w:t>
      </w:r>
      <w:r w:rsidR="00862D45" w:rsidRPr="001E1D25">
        <w:rPr>
          <w:lang w:val="nl-BE"/>
        </w:rPr>
        <w:t>, niet gefactureerde</w:t>
      </w:r>
      <w:r w:rsidRPr="001E1D25">
        <w:rPr>
          <w:lang w:val="nl-BE"/>
        </w:rPr>
        <w:t xml:space="preserve"> fases te betalen.</w:t>
      </w:r>
      <w:r w:rsidR="007C56C4" w:rsidRPr="001E1D25">
        <w:rPr>
          <w:lang w:val="nl-BE"/>
        </w:rPr>
        <w:t xml:space="preserve"> Bij toetreding tot een rechtspersoon wordt de overeenkomst aan die rechtspersoon overgedragen.</w:t>
      </w:r>
    </w:p>
    <w:p w14:paraId="3D5F01B2" w14:textId="77777777" w:rsidR="00572472" w:rsidRPr="001E1D25" w:rsidRDefault="00572472" w:rsidP="00251FB6">
      <w:pPr>
        <w:pStyle w:val="NoSpacing"/>
        <w:jc w:val="both"/>
        <w:rPr>
          <w:lang w:val="nl-BE"/>
        </w:rPr>
      </w:pPr>
    </w:p>
    <w:p w14:paraId="16367659" w14:textId="77777777" w:rsidR="00B80A16" w:rsidRPr="001E1D25" w:rsidRDefault="00B80A16" w:rsidP="00251FB6">
      <w:pPr>
        <w:pStyle w:val="NoSpacing"/>
        <w:jc w:val="both"/>
      </w:pPr>
      <w:r w:rsidRPr="001E1D25">
        <w:t xml:space="preserve">Beide Partijen kunnen in onderling akkoord de overeenkomst beëindigen. </w:t>
      </w:r>
    </w:p>
    <w:p w14:paraId="3EB96BA1" w14:textId="77777777" w:rsidR="00572472" w:rsidRPr="001E1D25" w:rsidRDefault="00572472" w:rsidP="00251FB6">
      <w:pPr>
        <w:pStyle w:val="NoSpacing"/>
        <w:jc w:val="both"/>
      </w:pPr>
    </w:p>
    <w:p w14:paraId="2FB4F322" w14:textId="49D8751A" w:rsidR="00572472" w:rsidRPr="001E1D25" w:rsidRDefault="00572472" w:rsidP="00251FB6">
      <w:pPr>
        <w:pStyle w:val="NoSpacing"/>
        <w:jc w:val="both"/>
      </w:pPr>
      <w:r w:rsidRPr="001E1D25">
        <w:rPr>
          <w:lang w:val="nl-BE"/>
        </w:rPr>
        <w:t>Beide Partijen kunnen de overeenkomst heronderhandelen bij verandering van omstandigheden die onvoorzienbaar waren bij de contractsluiting, de uitvoering buitensporig bezwaren, en niet toerekenbaar zijn aan één van de Partijen.</w:t>
      </w:r>
    </w:p>
    <w:p w14:paraId="4266F479" w14:textId="77777777" w:rsidR="00B80A16" w:rsidRPr="001E1D25" w:rsidRDefault="00B80A16" w:rsidP="00251FB6">
      <w:pPr>
        <w:pStyle w:val="NoSpacing"/>
        <w:jc w:val="both"/>
      </w:pPr>
    </w:p>
    <w:p w14:paraId="02BD8C05" w14:textId="6DD2876C" w:rsidR="00B80A16" w:rsidRPr="001E1D25" w:rsidRDefault="00B80A16" w:rsidP="00251FB6">
      <w:pPr>
        <w:pStyle w:val="NoSpacing"/>
        <w:jc w:val="both"/>
      </w:pPr>
      <w:r w:rsidRPr="001E1D25">
        <w:t xml:space="preserve">De overeenkomst kan ontbonden worden na ingebrekestelling en </w:t>
      </w:r>
      <w:r w:rsidR="00572472" w:rsidRPr="001E1D25">
        <w:t xml:space="preserve">hersteltermijn en </w:t>
      </w:r>
      <w:r w:rsidRPr="001E1D25">
        <w:t xml:space="preserve">opzeg van 30 dagen, mits het betalen van </w:t>
      </w:r>
      <w:r w:rsidR="00572472" w:rsidRPr="001E1D25">
        <w:t>de vergoeding</w:t>
      </w:r>
      <w:r w:rsidRPr="001E1D25">
        <w:t xml:space="preserve"> aan de Dienstverlener verschuldigd voor de gemaakte kosten en prestaties:</w:t>
      </w:r>
    </w:p>
    <w:p w14:paraId="3CB148EC" w14:textId="77777777" w:rsidR="00B80A16" w:rsidRPr="001E1D25" w:rsidRDefault="00B80A16" w:rsidP="00F460F8">
      <w:pPr>
        <w:pStyle w:val="NoSpacing"/>
        <w:numPr>
          <w:ilvl w:val="0"/>
          <w:numId w:val="6"/>
        </w:numPr>
        <w:ind w:left="720"/>
        <w:jc w:val="both"/>
      </w:pPr>
      <w:r w:rsidRPr="001E1D25">
        <w:t>Bij een ernstige tekortkoming van de andere partij;</w:t>
      </w:r>
    </w:p>
    <w:p w14:paraId="034C11A3" w14:textId="37B50A77" w:rsidR="00FE0C1E" w:rsidRPr="007C446C" w:rsidRDefault="00B80A16" w:rsidP="007C446C">
      <w:pPr>
        <w:pStyle w:val="NoSpacing"/>
        <w:numPr>
          <w:ilvl w:val="0"/>
          <w:numId w:val="6"/>
        </w:numPr>
        <w:ind w:left="720"/>
        <w:jc w:val="both"/>
      </w:pPr>
      <w:r w:rsidRPr="001E1D25">
        <w:t>Bij het niet naleven van de afgesproken uitvoeringstermijn.</w:t>
      </w:r>
    </w:p>
    <w:p w14:paraId="672A1C0E" w14:textId="7E063C39" w:rsidR="00B80A16" w:rsidRPr="003A5FF4" w:rsidRDefault="00B80A16" w:rsidP="00B80A16">
      <w:pPr>
        <w:pStyle w:val="Heading1"/>
        <w:numPr>
          <w:ilvl w:val="0"/>
          <w:numId w:val="1"/>
        </w:numPr>
      </w:pPr>
      <w:bookmarkStart w:id="16" w:name="_Toc479848169"/>
      <w:bookmarkStart w:id="17" w:name="_Hlk488175304"/>
      <w:proofErr w:type="spellStart"/>
      <w:r w:rsidRPr="003A5FF4">
        <w:t>T</w:t>
      </w:r>
      <w:r w:rsidR="003A5FF4" w:rsidRPr="003A5FF4">
        <w:t>oepasselijke</w:t>
      </w:r>
      <w:proofErr w:type="spellEnd"/>
      <w:r w:rsidR="003A5FF4" w:rsidRPr="003A5FF4">
        <w:t xml:space="preserve"> </w:t>
      </w:r>
      <w:proofErr w:type="spellStart"/>
      <w:r w:rsidR="003A5FF4" w:rsidRPr="003A5FF4">
        <w:t>wetgeving</w:t>
      </w:r>
      <w:bookmarkEnd w:id="16"/>
      <w:proofErr w:type="spellEnd"/>
    </w:p>
    <w:p w14:paraId="55833733" w14:textId="77777777" w:rsidR="00B80A16" w:rsidRPr="001E1D25" w:rsidRDefault="00B80A16" w:rsidP="00251FB6">
      <w:pPr>
        <w:pStyle w:val="NoSpacing"/>
      </w:pPr>
      <w:r w:rsidRPr="001E1D25">
        <w:t>Deze overeenkomst is onderworpen aan het Belgische recht.</w:t>
      </w:r>
    </w:p>
    <w:p w14:paraId="4FD5F5C9" w14:textId="3D067B57" w:rsidR="00572472" w:rsidRPr="001E1D25" w:rsidRDefault="00572472" w:rsidP="00251FB6">
      <w:pPr>
        <w:pStyle w:val="NoSpacing"/>
        <w:rPr>
          <w:i/>
          <w:iCs/>
          <w:color w:val="92D050"/>
        </w:rPr>
      </w:pPr>
      <w:r w:rsidRPr="001E1D25">
        <w:t xml:space="preserve">De taal van het contract is </w:t>
      </w:r>
      <w:r w:rsidRPr="001E1D25">
        <w:rPr>
          <w:i/>
          <w:iCs/>
          <w:color w:val="00B050"/>
        </w:rPr>
        <w:t>Nederlands, Frans</w:t>
      </w:r>
      <w:r w:rsidR="001E1D25" w:rsidRPr="001E1D25">
        <w:rPr>
          <w:i/>
          <w:iCs/>
          <w:color w:val="00B050"/>
        </w:rPr>
        <w:t>, Duits, Engels</w:t>
      </w:r>
      <w:r w:rsidR="00FE0C1E" w:rsidRPr="001E1D25">
        <w:rPr>
          <w:i/>
          <w:iCs/>
          <w:color w:val="00B050"/>
        </w:rPr>
        <w:t>…</w:t>
      </w:r>
      <w:r w:rsidRPr="001E1D25">
        <w:rPr>
          <w:i/>
          <w:iCs/>
          <w:color w:val="00B050"/>
        </w:rPr>
        <w:t>.</w:t>
      </w:r>
    </w:p>
    <w:p w14:paraId="25E991DF" w14:textId="1ACDD579" w:rsidR="00B80A16" w:rsidRPr="003A5FF4" w:rsidRDefault="00B80A16" w:rsidP="00B80A16">
      <w:pPr>
        <w:pStyle w:val="Heading1"/>
        <w:numPr>
          <w:ilvl w:val="0"/>
          <w:numId w:val="1"/>
        </w:numPr>
      </w:pPr>
      <w:bookmarkStart w:id="18" w:name="_Toc479848170"/>
      <w:bookmarkEnd w:id="17"/>
      <w:proofErr w:type="spellStart"/>
      <w:r w:rsidRPr="003A5FF4">
        <w:t>B</w:t>
      </w:r>
      <w:bookmarkEnd w:id="18"/>
      <w:r w:rsidR="003A5FF4" w:rsidRPr="003A5FF4">
        <w:t>ehandelen</w:t>
      </w:r>
      <w:proofErr w:type="spellEnd"/>
      <w:r w:rsidR="003A5FF4" w:rsidRPr="003A5FF4">
        <w:t xml:space="preserve"> van </w:t>
      </w:r>
      <w:proofErr w:type="spellStart"/>
      <w:r w:rsidR="003A5FF4" w:rsidRPr="003A5FF4">
        <w:t>conflicten</w:t>
      </w:r>
      <w:proofErr w:type="spellEnd"/>
    </w:p>
    <w:p w14:paraId="46F52A77" w14:textId="77777777" w:rsidR="00572472" w:rsidRPr="001E1D25" w:rsidRDefault="00B80A16" w:rsidP="00251FB6">
      <w:pPr>
        <w:pStyle w:val="NoSpacing"/>
        <w:jc w:val="both"/>
      </w:pPr>
      <w:r w:rsidRPr="001E1D25">
        <w:t xml:space="preserve">Behalve in geval van hoogdringendheid, zullen de Partijen zich onthouden elkaar te dagvaarden zonder een voorafgaande in gebrekestelling te hebben verricht. </w:t>
      </w:r>
    </w:p>
    <w:p w14:paraId="1BB6CCBB" w14:textId="77777777" w:rsidR="00572472" w:rsidRPr="001E1D25" w:rsidRDefault="00572472" w:rsidP="00251FB6">
      <w:pPr>
        <w:pStyle w:val="NoSpacing"/>
        <w:jc w:val="both"/>
      </w:pPr>
    </w:p>
    <w:p w14:paraId="0C8DD289" w14:textId="1598A320" w:rsidR="00B80A16" w:rsidRPr="001E1D25" w:rsidRDefault="00B80A16" w:rsidP="00251FB6">
      <w:pPr>
        <w:pStyle w:val="NoSpacing"/>
        <w:jc w:val="both"/>
      </w:pPr>
      <w:r w:rsidRPr="001E1D25">
        <w:rPr>
          <w:highlight w:val="lightGray"/>
        </w:rPr>
        <w:t>De Dienstverlener verbindt zich ertoe elke schriftelijke klacht van de Opdrachtgever binnen de 30 dagen schriftelijk te beantwoorden.</w:t>
      </w:r>
    </w:p>
    <w:p w14:paraId="37D27FED" w14:textId="77777777" w:rsidR="00B80A16" w:rsidRPr="001E1D25" w:rsidRDefault="00B80A16" w:rsidP="00251FB6">
      <w:pPr>
        <w:pStyle w:val="NoSpacing"/>
        <w:jc w:val="both"/>
      </w:pPr>
    </w:p>
    <w:p w14:paraId="21827CBE" w14:textId="77777777" w:rsidR="00B80A16" w:rsidRPr="001E1D25" w:rsidRDefault="00B80A16" w:rsidP="00251FB6">
      <w:pPr>
        <w:pStyle w:val="NoSpacing"/>
        <w:jc w:val="both"/>
        <w:rPr>
          <w:i/>
        </w:rPr>
      </w:pPr>
      <w:r w:rsidRPr="001E1D25">
        <w:t xml:space="preserve">De Partijen zullen een conflict met betrekking tot de interpretatie of de uitvoering van deze overeenkomst, minnelijk pogen op te lossen, al dan niet met de hulp van derde personen. </w:t>
      </w:r>
    </w:p>
    <w:p w14:paraId="25F8501A" w14:textId="77777777" w:rsidR="00B80A16" w:rsidRPr="001E1D25" w:rsidRDefault="00B80A16" w:rsidP="00251FB6">
      <w:pPr>
        <w:pStyle w:val="NoSpacing"/>
        <w:jc w:val="both"/>
      </w:pPr>
    </w:p>
    <w:p w14:paraId="4225CF6F" w14:textId="6ADD7D38" w:rsidR="00B80A16" w:rsidRPr="001E1D25" w:rsidRDefault="00B80A16" w:rsidP="00251FB6">
      <w:pPr>
        <w:pStyle w:val="NoSpacing"/>
        <w:jc w:val="both"/>
      </w:pPr>
      <w:r w:rsidRPr="001E1D25">
        <w:t>De rechtbanken van (</w:t>
      </w:r>
      <w:r w:rsidRPr="001E1D25">
        <w:rPr>
          <w:highlight w:val="lightGray"/>
        </w:rPr>
        <w:t>woonplaats Opdrachtgever</w:t>
      </w:r>
      <w:r w:rsidRPr="001E1D25">
        <w:rPr>
          <w:i/>
        </w:rPr>
        <w:t>/</w:t>
      </w:r>
      <w:r w:rsidR="00F460F8" w:rsidRPr="001E1D25">
        <w:rPr>
          <w:i/>
          <w:color w:val="00B050"/>
        </w:rPr>
        <w:t>Belgische zetel Dienstverlener</w:t>
      </w:r>
      <w:r w:rsidR="00F460F8" w:rsidRPr="001E1D25">
        <w:rPr>
          <w:i/>
          <w:color w:val="92D050"/>
        </w:rPr>
        <w:t>)</w:t>
      </w:r>
      <w:r w:rsidRPr="001E1D25">
        <w:rPr>
          <w:color w:val="92D050"/>
        </w:rPr>
        <w:t xml:space="preserve"> </w:t>
      </w:r>
      <w:r w:rsidRPr="001E1D25">
        <w:t>zijn bevoegd om de geschillen tussen Partijen te beslechten.</w:t>
      </w:r>
    </w:p>
    <w:p w14:paraId="3F93B4EF" w14:textId="77777777" w:rsidR="00B80A16" w:rsidRPr="001E1D25" w:rsidRDefault="00B80A16" w:rsidP="00251FB6">
      <w:pPr>
        <w:pStyle w:val="NoSpacing"/>
        <w:jc w:val="both"/>
        <w:rPr>
          <w:i/>
        </w:rPr>
      </w:pPr>
    </w:p>
    <w:p w14:paraId="209105F9" w14:textId="4E9EC93A" w:rsidR="00B80A16" w:rsidRPr="001E1D25" w:rsidRDefault="00B80A16" w:rsidP="00251FB6">
      <w:pPr>
        <w:pStyle w:val="NoSpacing"/>
        <w:jc w:val="both"/>
        <w:rPr>
          <w:i/>
        </w:rPr>
      </w:pPr>
      <w:r w:rsidRPr="001E1D25">
        <w:t xml:space="preserve">Bij een verschil van mening over de interpretatie van een clausule is de meest gunstige interpretatie volgens </w:t>
      </w:r>
      <w:r w:rsidR="00767C15" w:rsidRPr="001E1D25">
        <w:t xml:space="preserve">artikel VI.37 van het Wetboek Economisch </w:t>
      </w:r>
      <w:r w:rsidR="00F460F8" w:rsidRPr="001E1D25">
        <w:t>R</w:t>
      </w:r>
      <w:r w:rsidR="00767C15" w:rsidRPr="001E1D25">
        <w:t>echt of artikel 5:66 Burgerlijk Wetboek</w:t>
      </w:r>
      <w:r w:rsidRPr="001E1D25">
        <w:t xml:space="preserve"> in het voordeel van de Opdrachtgever toe te passen.</w:t>
      </w:r>
    </w:p>
    <w:p w14:paraId="769EF06E" w14:textId="77777777" w:rsidR="00B80A16" w:rsidRPr="001E1D25" w:rsidRDefault="00B80A16" w:rsidP="00251FB6">
      <w:pPr>
        <w:pStyle w:val="NoSpacing"/>
        <w:jc w:val="both"/>
      </w:pPr>
    </w:p>
    <w:p w14:paraId="2D08F68E" w14:textId="77777777" w:rsidR="00B80A16" w:rsidRPr="001E1D25" w:rsidRDefault="00B80A16" w:rsidP="00251FB6">
      <w:pPr>
        <w:pStyle w:val="NoSpacing"/>
        <w:jc w:val="both"/>
      </w:pPr>
      <w:r w:rsidRPr="001E1D25">
        <w:t>De eventuele nietigheid van een contractuele bepaling of een deel van de overeenkomst leidt enkel tot de nietigheid van die bepaling en niet tot de nietigheid van het geheel van de overeenkomst.</w:t>
      </w:r>
    </w:p>
    <w:p w14:paraId="44902D31" w14:textId="0C5D985D" w:rsidR="00767C15" w:rsidRPr="003A5FF4" w:rsidRDefault="00F460F8" w:rsidP="00767C15">
      <w:pPr>
        <w:pStyle w:val="Heading1"/>
        <w:numPr>
          <w:ilvl w:val="0"/>
          <w:numId w:val="1"/>
        </w:numPr>
      </w:pPr>
      <w:bookmarkStart w:id="19" w:name="_Toc479848174"/>
      <w:proofErr w:type="spellStart"/>
      <w:r w:rsidRPr="003A5FF4">
        <w:t>K</w:t>
      </w:r>
      <w:r w:rsidR="003A5FF4" w:rsidRPr="003A5FF4">
        <w:t>ennisgeving</w:t>
      </w:r>
      <w:proofErr w:type="spellEnd"/>
      <w:r w:rsidR="003A5FF4" w:rsidRPr="003A5FF4">
        <w:t xml:space="preserve"> en </w:t>
      </w:r>
      <w:proofErr w:type="spellStart"/>
      <w:r w:rsidR="003A5FF4" w:rsidRPr="003A5FF4">
        <w:t>geschrift</w:t>
      </w:r>
      <w:proofErr w:type="spellEnd"/>
    </w:p>
    <w:p w14:paraId="4B1C1C84" w14:textId="1B6C3428" w:rsidR="00767C15" w:rsidRPr="003A5FF4" w:rsidRDefault="00767C15" w:rsidP="00251FB6">
      <w:pPr>
        <w:pStyle w:val="NoSpacing"/>
        <w:jc w:val="both"/>
      </w:pPr>
      <w:r w:rsidRPr="003A5FF4">
        <w:t>De kennisgeving is een mededeling van een beslissing of een feit van de ene aan de andere Partij. De kennisgevingen tussen Partijen worden per e</w:t>
      </w:r>
      <w:r w:rsidR="007C446C">
        <w:t>-</w:t>
      </w:r>
      <w:r w:rsidRPr="003A5FF4">
        <w:t>mail uitgevoerd. De Opdrachtgever aanvaardt uitdrukkelijk dit communicatiemiddel. Het elektronisch adres is in de aanhef vermeld, en de Partijen zullen elkaar verwittigen als zij een ander email-adres willen gebruiken.</w:t>
      </w:r>
    </w:p>
    <w:p w14:paraId="6C1411A1" w14:textId="17391AC1" w:rsidR="00767C15" w:rsidRPr="003A5FF4" w:rsidRDefault="00C8015A" w:rsidP="00251FB6">
      <w:pPr>
        <w:pStyle w:val="NoSpacing"/>
        <w:jc w:val="both"/>
      </w:pPr>
      <w:r w:rsidRPr="003A5FF4">
        <w:br/>
      </w:r>
      <w:r w:rsidR="00767C15" w:rsidRPr="003A5FF4">
        <w:t xml:space="preserve">Onder “geschrift” begrijpen de Partijen het geheel van een boodschap in alfabetische en/of numerieke tekens die op een duurzame drager wordt gesteld en toegankelijk is voor beide </w:t>
      </w:r>
      <w:r w:rsidR="005F7A35" w:rsidRPr="003A5FF4">
        <w:t>Partijen:</w:t>
      </w:r>
      <w:r w:rsidR="00767C15" w:rsidRPr="003A5FF4">
        <w:t xml:space="preserve"> zowel papieren als elektronische documenten.</w:t>
      </w:r>
    </w:p>
    <w:p w14:paraId="58F54E37" w14:textId="04C42C45" w:rsidR="00767C15" w:rsidRPr="003A5FF4" w:rsidRDefault="00C8015A" w:rsidP="00251FB6">
      <w:pPr>
        <w:pStyle w:val="NoSpacing"/>
        <w:jc w:val="both"/>
      </w:pPr>
      <w:r w:rsidRPr="003A5FF4">
        <w:br/>
      </w:r>
      <w:r w:rsidR="00767C15" w:rsidRPr="003A5FF4">
        <w:t>Een aangetekend geschrift kan op papier via de post of elektronisch via een geauthentificeerde elektronische brievenbus (</w:t>
      </w:r>
      <w:proofErr w:type="spellStart"/>
      <w:r w:rsidR="00767C15" w:rsidRPr="003A5FF4">
        <w:t>eBox</w:t>
      </w:r>
      <w:proofErr w:type="spellEnd"/>
      <w:r w:rsidR="00767C15" w:rsidRPr="003A5FF4">
        <w:t xml:space="preserve"> of </w:t>
      </w:r>
      <w:proofErr w:type="spellStart"/>
      <w:r w:rsidR="00767C15" w:rsidRPr="003A5FF4">
        <w:t>Doccle</w:t>
      </w:r>
      <w:proofErr w:type="spellEnd"/>
      <w:r w:rsidR="00767C15" w:rsidRPr="003A5FF4">
        <w:t xml:space="preserve"> of gelijkaardige) verzonden worden.</w:t>
      </w:r>
    </w:p>
    <w:p w14:paraId="38CBDED3" w14:textId="266DE7A5" w:rsidR="00767C15" w:rsidRPr="003A5FF4" w:rsidRDefault="00767C15" w:rsidP="00767C15">
      <w:pPr>
        <w:pStyle w:val="Heading1"/>
        <w:numPr>
          <w:ilvl w:val="0"/>
          <w:numId w:val="1"/>
        </w:numPr>
      </w:pPr>
      <w:proofErr w:type="spellStart"/>
      <w:r w:rsidRPr="003A5FF4">
        <w:t>P</w:t>
      </w:r>
      <w:r w:rsidR="003A5FF4" w:rsidRPr="003A5FF4">
        <w:t>rivacyverklaring</w:t>
      </w:r>
      <w:proofErr w:type="spellEnd"/>
      <w:r w:rsidRPr="003A5FF4">
        <w:t xml:space="preserve"> </w:t>
      </w:r>
    </w:p>
    <w:p w14:paraId="66E3FCB7" w14:textId="1D76E945" w:rsidR="00767C15" w:rsidRPr="003A5FF4" w:rsidRDefault="00767C15" w:rsidP="00251FB6">
      <w:pPr>
        <w:pStyle w:val="NoSpacing"/>
        <w:jc w:val="both"/>
      </w:pPr>
      <w:r w:rsidRPr="003A5FF4">
        <w:t xml:space="preserve">De Dienstverlener gebruikt de gegevens van de Opdrachtgever enkel voor de uitvoering van dit contract en de eraan verbonden wettelijke verplichtingen. Hij verwerkt de gegevens in bestanden en via computerinstallaties van het eigen kantoor of in een voor hem voorbehouden cloud-ruimte. Hij gebruikt de gegevens niet voor marketingdoeleinden, noch verkoopt of verhuurt hij ze aan derden. De Opdrachtgever kan de data inkijken, laten verbeteren of verwijderen na het einde van het contract. </w:t>
      </w:r>
    </w:p>
    <w:p w14:paraId="2D3FE21D" w14:textId="2119B089" w:rsidR="00FE0C1E" w:rsidRPr="00F460F8" w:rsidRDefault="00767C15" w:rsidP="007C446C">
      <w:pPr>
        <w:pStyle w:val="NoSpacing"/>
        <w:jc w:val="both"/>
        <w:rPr>
          <w:rFonts w:cstheme="minorHAnsi"/>
          <w:sz w:val="24"/>
          <w:szCs w:val="24"/>
          <w:lang w:val="nl-BE"/>
        </w:rPr>
      </w:pPr>
      <w:r w:rsidRPr="00F460F8">
        <w:rPr>
          <w:rFonts w:cstheme="minorHAnsi"/>
          <w:sz w:val="24"/>
          <w:szCs w:val="24"/>
          <w:lang w:val="nl-BE"/>
        </w:rPr>
        <w:t>De persoonsgegevens zijn beperkt tot de identificatie van de Opdrachtgever, zoals opgenomen in de aanhef van deze overeenkomst.</w:t>
      </w:r>
    </w:p>
    <w:p w14:paraId="0A1ED523" w14:textId="6E3C5552" w:rsidR="00B80A16" w:rsidRPr="007C446C" w:rsidRDefault="00B80A16" w:rsidP="007C446C">
      <w:pPr>
        <w:pStyle w:val="Heading1"/>
        <w:numPr>
          <w:ilvl w:val="0"/>
          <w:numId w:val="1"/>
        </w:numPr>
      </w:pPr>
      <w:r w:rsidRPr="007C446C">
        <w:t>H</w:t>
      </w:r>
      <w:r w:rsidR="003A5FF4" w:rsidRPr="007C446C">
        <w:t>erroepingsrecht voor consumenten en bij verkoop op afstand</w:t>
      </w:r>
      <w:bookmarkEnd w:id="19"/>
    </w:p>
    <w:p w14:paraId="5BE353A4" w14:textId="77777777" w:rsidR="00B80A16" w:rsidRPr="003A5FF4" w:rsidRDefault="00B80A16" w:rsidP="00251FB6">
      <w:pPr>
        <w:pStyle w:val="NoSpacing"/>
        <w:jc w:val="both"/>
        <w:rPr>
          <w:highlight w:val="lightGray"/>
        </w:rPr>
      </w:pPr>
      <w:r w:rsidRPr="003A5FF4">
        <w:rPr>
          <w:highlight w:val="lightGray"/>
        </w:rPr>
        <w:t xml:space="preserve">De Opdrachtgever heeft het recht om deze overeenkomst binnen de 15 dagen te herroepen. </w:t>
      </w:r>
    </w:p>
    <w:p w14:paraId="005FC3EA" w14:textId="224EBF6A" w:rsidR="000D49DB" w:rsidRPr="003A5FF4" w:rsidRDefault="000D49DB" w:rsidP="00251FB6">
      <w:pPr>
        <w:pStyle w:val="NoSpacing"/>
        <w:jc w:val="both"/>
        <w:rPr>
          <w:color w:val="92D050"/>
        </w:rPr>
      </w:pPr>
      <w:r w:rsidRPr="007C446C">
        <w:rPr>
          <w:i/>
          <w:color w:val="00B050"/>
        </w:rPr>
        <w:t xml:space="preserve">In afwijking </w:t>
      </w:r>
      <w:r w:rsidR="00EF5DD7" w:rsidRPr="007C446C">
        <w:rPr>
          <w:i/>
          <w:color w:val="00B050"/>
        </w:rPr>
        <w:t>hier</w:t>
      </w:r>
      <w:r w:rsidRPr="007C446C">
        <w:rPr>
          <w:i/>
          <w:color w:val="00B050"/>
        </w:rPr>
        <w:t>van erkent de Opdrachtgever uitdrukkelijk dat hij de onmiddellijke start van de overeenkomst wenst en afziet van zijn herroepingsrecht</w:t>
      </w:r>
      <w:r w:rsidRPr="007C446C">
        <w:rPr>
          <w:color w:val="92D050"/>
        </w:rPr>
        <w:t>.</w:t>
      </w:r>
      <w:r w:rsidRPr="003A5FF4">
        <w:rPr>
          <w:color w:val="92D050"/>
        </w:rPr>
        <w:t xml:space="preserve"> </w:t>
      </w:r>
    </w:p>
    <w:p w14:paraId="74EB920A" w14:textId="77777777" w:rsidR="005440CD" w:rsidRPr="00B71E50" w:rsidRDefault="005440CD" w:rsidP="005440CD">
      <w:pPr>
        <w:pStyle w:val="NoSpacing"/>
        <w:ind w:left="360"/>
        <w:jc w:val="both"/>
      </w:pPr>
    </w:p>
    <w:p w14:paraId="0C4E8605" w14:textId="7DA960BF" w:rsidR="005440CD" w:rsidRPr="00B71E50" w:rsidRDefault="005440CD" w:rsidP="005440CD">
      <w:pPr>
        <w:pStyle w:val="NoSpacing"/>
      </w:pPr>
      <w:r w:rsidRPr="00B71E50">
        <w:t xml:space="preserve">Opgesteld te </w:t>
      </w:r>
      <w:r w:rsidR="00D266A5">
        <w:t>xx</w:t>
      </w:r>
      <w:r w:rsidRPr="00B71E50">
        <w:t xml:space="preserve">, op </w:t>
      </w:r>
      <w:r w:rsidR="00251FB6">
        <w:t>xx</w:t>
      </w:r>
      <w:r w:rsidRPr="00B71E50">
        <w:t xml:space="preserve"> maand 20</w:t>
      </w:r>
      <w:r w:rsidR="00B80A16">
        <w:t>xx</w:t>
      </w:r>
      <w:r w:rsidRPr="00B71E50">
        <w:t>, in zoveel gelijke exemplaren als er Partijen zijn, waarvan elke Partij een gelijkvormig en ondertekend exemplaar heeft ontvangen.</w:t>
      </w:r>
    </w:p>
    <w:p w14:paraId="67408C52" w14:textId="77777777" w:rsidR="00B80A16" w:rsidRDefault="00B80A16" w:rsidP="00B80A16">
      <w:pPr>
        <w:pStyle w:val="NoSpacing"/>
        <w:rPr>
          <w:rFonts w:cstheme="minorHAnsi"/>
          <w:color w:val="00B050"/>
          <w:sz w:val="24"/>
          <w:szCs w:val="24"/>
        </w:rPr>
      </w:pPr>
    </w:p>
    <w:p w14:paraId="26A640F7" w14:textId="1E184A57" w:rsidR="00B80A16" w:rsidRPr="006466E2" w:rsidRDefault="00020912" w:rsidP="00B80A16">
      <w:pPr>
        <w:pStyle w:val="NoSpacing"/>
        <w:rPr>
          <w:rFonts w:cstheme="minorHAnsi"/>
          <w:i/>
          <w:iCs/>
          <w:color w:val="00B050"/>
          <w:sz w:val="24"/>
          <w:szCs w:val="24"/>
        </w:rPr>
      </w:pPr>
      <w:r w:rsidRPr="006466E2">
        <w:rPr>
          <w:rFonts w:cstheme="minorHAnsi"/>
          <w:i/>
          <w:iCs/>
          <w:color w:val="00B050"/>
          <w:sz w:val="24"/>
          <w:szCs w:val="24"/>
        </w:rPr>
        <w:t xml:space="preserve">Opgesteld te xxx, op xx/xx/20xx, </w:t>
      </w:r>
      <w:r w:rsidR="00B80A16" w:rsidRPr="006466E2">
        <w:rPr>
          <w:rFonts w:cstheme="minorHAnsi"/>
          <w:i/>
          <w:iCs/>
          <w:color w:val="00B050"/>
          <w:sz w:val="24"/>
          <w:szCs w:val="24"/>
        </w:rPr>
        <w:t>In één elektronisch ondertekend exemplaar, waarvan elke Partij een kopie bekomt.</w:t>
      </w:r>
    </w:p>
    <w:p w14:paraId="3B781D65" w14:textId="77777777" w:rsidR="005440CD" w:rsidRPr="00B71E50" w:rsidRDefault="005440CD" w:rsidP="005440CD">
      <w:pPr>
        <w:pStyle w:val="NoSpacing"/>
      </w:pPr>
    </w:p>
    <w:p w14:paraId="0A0C92A6" w14:textId="77777777" w:rsidR="005440CD" w:rsidRDefault="005440CD" w:rsidP="005440CD">
      <w:pPr>
        <w:pStyle w:val="NoSpacing"/>
      </w:pPr>
    </w:p>
    <w:p w14:paraId="15068BE6" w14:textId="77777777" w:rsidR="003A5FF4" w:rsidRPr="00B71E50" w:rsidRDefault="003A5FF4" w:rsidP="005440CD">
      <w:pPr>
        <w:pStyle w:val="NoSpacing"/>
      </w:pPr>
    </w:p>
    <w:p w14:paraId="0100EABF" w14:textId="2EF3C25B" w:rsidR="005440CD" w:rsidRPr="00265E24" w:rsidRDefault="005440CD" w:rsidP="00C4685F">
      <w:pPr>
        <w:pStyle w:val="NoSpacing"/>
        <w:rPr>
          <w:sz w:val="24"/>
          <w:szCs w:val="24"/>
        </w:rPr>
      </w:pPr>
      <w:r w:rsidRPr="00265E24">
        <w:rPr>
          <w:sz w:val="24"/>
          <w:szCs w:val="24"/>
        </w:rPr>
        <w:t>De Dienstverlener</w:t>
      </w:r>
      <w:r w:rsidRPr="00265E24">
        <w:rPr>
          <w:sz w:val="24"/>
          <w:szCs w:val="24"/>
        </w:rPr>
        <w:tab/>
      </w:r>
      <w:r w:rsidRPr="00265E24">
        <w:rPr>
          <w:sz w:val="24"/>
          <w:szCs w:val="24"/>
        </w:rPr>
        <w:tab/>
      </w:r>
      <w:r w:rsidRPr="00265E24">
        <w:rPr>
          <w:sz w:val="24"/>
          <w:szCs w:val="24"/>
        </w:rPr>
        <w:tab/>
      </w:r>
      <w:r w:rsidRPr="00265E24">
        <w:rPr>
          <w:sz w:val="24"/>
          <w:szCs w:val="24"/>
        </w:rPr>
        <w:tab/>
      </w:r>
      <w:r w:rsidRPr="00265E24">
        <w:rPr>
          <w:sz w:val="24"/>
          <w:szCs w:val="24"/>
        </w:rPr>
        <w:tab/>
      </w:r>
      <w:r w:rsidRPr="00265E24">
        <w:rPr>
          <w:sz w:val="24"/>
          <w:szCs w:val="24"/>
        </w:rPr>
        <w:tab/>
      </w:r>
      <w:r w:rsidRPr="00265E24">
        <w:rPr>
          <w:sz w:val="24"/>
          <w:szCs w:val="24"/>
        </w:rPr>
        <w:tab/>
        <w:t>De Opdrachtgever</w:t>
      </w:r>
    </w:p>
    <w:sectPr w:rsidR="005440CD" w:rsidRPr="00265E24" w:rsidSect="004E2DA5">
      <w:footerReference w:type="default" r:id="rId9"/>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3F3B" w14:textId="77777777" w:rsidR="00611E07" w:rsidRDefault="00611E07" w:rsidP="00F460F8">
      <w:pPr>
        <w:spacing w:after="0" w:line="240" w:lineRule="auto"/>
      </w:pPr>
      <w:r>
        <w:separator/>
      </w:r>
    </w:p>
  </w:endnote>
  <w:endnote w:type="continuationSeparator" w:id="0">
    <w:p w14:paraId="2B17B5C3" w14:textId="77777777" w:rsidR="00611E07" w:rsidRDefault="00611E07" w:rsidP="00F4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74962"/>
      <w:docPartObj>
        <w:docPartGallery w:val="Page Numbers (Bottom of Page)"/>
        <w:docPartUnique/>
      </w:docPartObj>
    </w:sdtPr>
    <w:sdtContent>
      <w:p w14:paraId="14978FE5" w14:textId="2D162779" w:rsidR="00F460F8" w:rsidRDefault="00F460F8">
        <w:pPr>
          <w:pStyle w:val="Footer"/>
          <w:jc w:val="right"/>
        </w:pPr>
        <w:r>
          <w:fldChar w:fldCharType="begin"/>
        </w:r>
        <w:r>
          <w:instrText>PAGE   \* MERGEFORMAT</w:instrText>
        </w:r>
        <w:r>
          <w:fldChar w:fldCharType="separate"/>
        </w:r>
        <w:r>
          <w:rPr>
            <w:lang w:val="nl-NL"/>
          </w:rPr>
          <w:t>2</w:t>
        </w:r>
        <w:r>
          <w:fldChar w:fldCharType="end"/>
        </w:r>
      </w:p>
    </w:sdtContent>
  </w:sdt>
  <w:p w14:paraId="540A321E" w14:textId="77777777" w:rsidR="00F460F8" w:rsidRDefault="00F4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98DE" w14:textId="77777777" w:rsidR="00611E07" w:rsidRDefault="00611E07" w:rsidP="00F460F8">
      <w:pPr>
        <w:spacing w:after="0" w:line="240" w:lineRule="auto"/>
      </w:pPr>
      <w:r>
        <w:separator/>
      </w:r>
    </w:p>
  </w:footnote>
  <w:footnote w:type="continuationSeparator" w:id="0">
    <w:p w14:paraId="148AD13C" w14:textId="77777777" w:rsidR="00611E07" w:rsidRDefault="00611E07" w:rsidP="00F46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2DA5"/>
    <w:multiLevelType w:val="hybridMultilevel"/>
    <w:tmpl w:val="9BA46D84"/>
    <w:lvl w:ilvl="0" w:tplc="29A0357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EAC5C99"/>
    <w:multiLevelType w:val="multilevel"/>
    <w:tmpl w:val="6068EE4E"/>
    <w:lvl w:ilvl="0">
      <w:start w:val="6"/>
      <w:numFmt w:val="decimal"/>
      <w:lvlText w:val="%1"/>
      <w:lvlJc w:val="left"/>
      <w:pPr>
        <w:ind w:left="360" w:hanging="360"/>
      </w:pPr>
      <w:rPr>
        <w:rFonts w:hint="default"/>
      </w:rPr>
    </w:lvl>
    <w:lvl w:ilvl="1">
      <w:start w:val="2"/>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2" w15:restartNumberingAfterBreak="0">
    <w:nsid w:val="258F17F9"/>
    <w:multiLevelType w:val="hybridMultilevel"/>
    <w:tmpl w:val="FFAAAC62"/>
    <w:lvl w:ilvl="0" w:tplc="2BD4CE8C">
      <w:numFmt w:val="bullet"/>
      <w:lvlText w:val="-"/>
      <w:lvlJc w:val="left"/>
      <w:pPr>
        <w:ind w:left="720" w:hanging="360"/>
      </w:pPr>
      <w:rPr>
        <w:rFonts w:ascii="Calibri" w:eastAsiaTheme="minorHAnsi" w:hAnsi="Calibri" w:cs="Calibri" w:hint="default"/>
      </w:rPr>
    </w:lvl>
    <w:lvl w:ilvl="1" w:tplc="29A03570">
      <w:numFmt w:val="bullet"/>
      <w:lvlText w:val="-"/>
      <w:lvlJc w:val="left"/>
      <w:pPr>
        <w:ind w:left="1440" w:hanging="360"/>
      </w:pPr>
      <w:rPr>
        <w:rFonts w:ascii="Calibri" w:eastAsiaTheme="minorHAnsi" w:hAnsi="Calibri"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104250F"/>
    <w:multiLevelType w:val="hybridMultilevel"/>
    <w:tmpl w:val="AF1E8D3E"/>
    <w:lvl w:ilvl="0" w:tplc="9B301EAA">
      <w:numFmt w:val="bullet"/>
      <w:lvlText w:val="-"/>
      <w:lvlJc w:val="left"/>
      <w:pPr>
        <w:ind w:left="720" w:hanging="360"/>
      </w:pPr>
      <w:rPr>
        <w:rFonts w:ascii="Calibri" w:eastAsiaTheme="minorHAnsi" w:hAnsi="Calibri" w:cstheme="minorBidi" w:hint="default"/>
      </w:rPr>
    </w:lvl>
    <w:lvl w:ilvl="1" w:tplc="DE224E08">
      <w:start w:val="2"/>
      <w:numFmt w:val="bullet"/>
      <w:lvlText w:val="-"/>
      <w:lvlJc w:val="left"/>
      <w:pPr>
        <w:ind w:left="1440" w:hanging="360"/>
      </w:pPr>
      <w:rPr>
        <w:rFonts w:ascii="Tahoma" w:eastAsiaTheme="minorEastAsia" w:hAnsi="Tahoma" w:cs="Tahoma"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B34945"/>
    <w:multiLevelType w:val="hybridMultilevel"/>
    <w:tmpl w:val="B7968E9A"/>
    <w:lvl w:ilvl="0" w:tplc="9B301EAA">
      <w:numFmt w:val="bullet"/>
      <w:lvlText w:val="-"/>
      <w:lvlJc w:val="left"/>
      <w:pPr>
        <w:ind w:left="3588" w:hanging="360"/>
      </w:pPr>
      <w:rPr>
        <w:rFonts w:ascii="Calibri" w:eastAsiaTheme="minorHAnsi" w:hAnsi="Calibri" w:cstheme="minorBidi" w:hint="default"/>
      </w:rPr>
    </w:lvl>
    <w:lvl w:ilvl="1" w:tplc="080C0003">
      <w:start w:val="1"/>
      <w:numFmt w:val="bullet"/>
      <w:lvlText w:val="o"/>
      <w:lvlJc w:val="left"/>
      <w:pPr>
        <w:ind w:left="4308" w:hanging="360"/>
      </w:pPr>
      <w:rPr>
        <w:rFonts w:ascii="Courier New" w:hAnsi="Courier New" w:cs="Courier New" w:hint="default"/>
      </w:rPr>
    </w:lvl>
    <w:lvl w:ilvl="2" w:tplc="080C0005">
      <w:start w:val="1"/>
      <w:numFmt w:val="bullet"/>
      <w:lvlText w:val=""/>
      <w:lvlJc w:val="left"/>
      <w:pPr>
        <w:ind w:left="5028" w:hanging="360"/>
      </w:pPr>
      <w:rPr>
        <w:rFonts w:ascii="Wingdings" w:hAnsi="Wingdings" w:hint="default"/>
      </w:rPr>
    </w:lvl>
    <w:lvl w:ilvl="3" w:tplc="080C0001" w:tentative="1">
      <w:start w:val="1"/>
      <w:numFmt w:val="bullet"/>
      <w:lvlText w:val=""/>
      <w:lvlJc w:val="left"/>
      <w:pPr>
        <w:ind w:left="5748" w:hanging="360"/>
      </w:pPr>
      <w:rPr>
        <w:rFonts w:ascii="Symbol" w:hAnsi="Symbol" w:hint="default"/>
      </w:rPr>
    </w:lvl>
    <w:lvl w:ilvl="4" w:tplc="080C0003" w:tentative="1">
      <w:start w:val="1"/>
      <w:numFmt w:val="bullet"/>
      <w:lvlText w:val="o"/>
      <w:lvlJc w:val="left"/>
      <w:pPr>
        <w:ind w:left="6468" w:hanging="360"/>
      </w:pPr>
      <w:rPr>
        <w:rFonts w:ascii="Courier New" w:hAnsi="Courier New" w:cs="Courier New" w:hint="default"/>
      </w:rPr>
    </w:lvl>
    <w:lvl w:ilvl="5" w:tplc="080C0005" w:tentative="1">
      <w:start w:val="1"/>
      <w:numFmt w:val="bullet"/>
      <w:lvlText w:val=""/>
      <w:lvlJc w:val="left"/>
      <w:pPr>
        <w:ind w:left="7188" w:hanging="360"/>
      </w:pPr>
      <w:rPr>
        <w:rFonts w:ascii="Wingdings" w:hAnsi="Wingdings" w:hint="default"/>
      </w:rPr>
    </w:lvl>
    <w:lvl w:ilvl="6" w:tplc="080C0001" w:tentative="1">
      <w:start w:val="1"/>
      <w:numFmt w:val="bullet"/>
      <w:lvlText w:val=""/>
      <w:lvlJc w:val="left"/>
      <w:pPr>
        <w:ind w:left="7908" w:hanging="360"/>
      </w:pPr>
      <w:rPr>
        <w:rFonts w:ascii="Symbol" w:hAnsi="Symbol" w:hint="default"/>
      </w:rPr>
    </w:lvl>
    <w:lvl w:ilvl="7" w:tplc="080C0003" w:tentative="1">
      <w:start w:val="1"/>
      <w:numFmt w:val="bullet"/>
      <w:lvlText w:val="o"/>
      <w:lvlJc w:val="left"/>
      <w:pPr>
        <w:ind w:left="8628" w:hanging="360"/>
      </w:pPr>
      <w:rPr>
        <w:rFonts w:ascii="Courier New" w:hAnsi="Courier New" w:cs="Courier New" w:hint="default"/>
      </w:rPr>
    </w:lvl>
    <w:lvl w:ilvl="8" w:tplc="080C0005" w:tentative="1">
      <w:start w:val="1"/>
      <w:numFmt w:val="bullet"/>
      <w:lvlText w:val=""/>
      <w:lvlJc w:val="left"/>
      <w:pPr>
        <w:ind w:left="9348" w:hanging="360"/>
      </w:pPr>
      <w:rPr>
        <w:rFonts w:ascii="Wingdings" w:hAnsi="Wingdings" w:hint="default"/>
      </w:rPr>
    </w:lvl>
  </w:abstractNum>
  <w:abstractNum w:abstractNumId="5" w15:restartNumberingAfterBreak="0">
    <w:nsid w:val="46A30FF4"/>
    <w:multiLevelType w:val="multilevel"/>
    <w:tmpl w:val="5202A272"/>
    <w:lvl w:ilvl="0">
      <w:start w:val="1"/>
      <w:numFmt w:val="decimal"/>
      <w:lvlText w:val="%1."/>
      <w:lvlJc w:val="left"/>
      <w:pPr>
        <w:ind w:left="360" w:hanging="360"/>
      </w:pPr>
      <w:rPr>
        <w:rFonts w:hint="default"/>
      </w:rPr>
    </w:lvl>
    <w:lvl w:ilvl="1">
      <w:start w:val="1"/>
      <w:numFmt w:val="decimal"/>
      <w:isLgl/>
      <w:lvlText w:val="%1.%2."/>
      <w:lvlJc w:val="left"/>
      <w:pPr>
        <w:ind w:left="106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6" w15:restartNumberingAfterBreak="0">
    <w:nsid w:val="4D3D505F"/>
    <w:multiLevelType w:val="hybridMultilevel"/>
    <w:tmpl w:val="2398D56E"/>
    <w:lvl w:ilvl="0" w:tplc="9B301EAA">
      <w:numFmt w:val="bullet"/>
      <w:lvlText w:val="-"/>
      <w:lvlJc w:val="left"/>
      <w:pPr>
        <w:ind w:left="1210" w:hanging="360"/>
      </w:pPr>
      <w:rPr>
        <w:rFonts w:ascii="Calibri" w:eastAsiaTheme="minorHAnsi" w:hAnsi="Calibri" w:cstheme="minorBidi" w:hint="default"/>
      </w:rPr>
    </w:lvl>
    <w:lvl w:ilvl="1" w:tplc="08130003">
      <w:start w:val="1"/>
      <w:numFmt w:val="bullet"/>
      <w:lvlText w:val="o"/>
      <w:lvlJc w:val="left"/>
      <w:pPr>
        <w:ind w:left="1930" w:hanging="360"/>
      </w:pPr>
      <w:rPr>
        <w:rFonts w:ascii="Courier New" w:hAnsi="Courier New" w:cs="Courier New" w:hint="default"/>
      </w:rPr>
    </w:lvl>
    <w:lvl w:ilvl="2" w:tplc="08130005" w:tentative="1">
      <w:start w:val="1"/>
      <w:numFmt w:val="bullet"/>
      <w:lvlText w:val=""/>
      <w:lvlJc w:val="left"/>
      <w:pPr>
        <w:ind w:left="2650" w:hanging="360"/>
      </w:pPr>
      <w:rPr>
        <w:rFonts w:ascii="Wingdings" w:hAnsi="Wingdings" w:hint="default"/>
      </w:rPr>
    </w:lvl>
    <w:lvl w:ilvl="3" w:tplc="08130001" w:tentative="1">
      <w:start w:val="1"/>
      <w:numFmt w:val="bullet"/>
      <w:lvlText w:val=""/>
      <w:lvlJc w:val="left"/>
      <w:pPr>
        <w:ind w:left="3370" w:hanging="360"/>
      </w:pPr>
      <w:rPr>
        <w:rFonts w:ascii="Symbol" w:hAnsi="Symbol" w:hint="default"/>
      </w:rPr>
    </w:lvl>
    <w:lvl w:ilvl="4" w:tplc="08130003" w:tentative="1">
      <w:start w:val="1"/>
      <w:numFmt w:val="bullet"/>
      <w:lvlText w:val="o"/>
      <w:lvlJc w:val="left"/>
      <w:pPr>
        <w:ind w:left="4090" w:hanging="360"/>
      </w:pPr>
      <w:rPr>
        <w:rFonts w:ascii="Courier New" w:hAnsi="Courier New" w:cs="Courier New" w:hint="default"/>
      </w:rPr>
    </w:lvl>
    <w:lvl w:ilvl="5" w:tplc="08130005" w:tentative="1">
      <w:start w:val="1"/>
      <w:numFmt w:val="bullet"/>
      <w:lvlText w:val=""/>
      <w:lvlJc w:val="left"/>
      <w:pPr>
        <w:ind w:left="4810" w:hanging="360"/>
      </w:pPr>
      <w:rPr>
        <w:rFonts w:ascii="Wingdings" w:hAnsi="Wingdings" w:hint="default"/>
      </w:rPr>
    </w:lvl>
    <w:lvl w:ilvl="6" w:tplc="08130001" w:tentative="1">
      <w:start w:val="1"/>
      <w:numFmt w:val="bullet"/>
      <w:lvlText w:val=""/>
      <w:lvlJc w:val="left"/>
      <w:pPr>
        <w:ind w:left="5530" w:hanging="360"/>
      </w:pPr>
      <w:rPr>
        <w:rFonts w:ascii="Symbol" w:hAnsi="Symbol" w:hint="default"/>
      </w:rPr>
    </w:lvl>
    <w:lvl w:ilvl="7" w:tplc="08130003" w:tentative="1">
      <w:start w:val="1"/>
      <w:numFmt w:val="bullet"/>
      <w:lvlText w:val="o"/>
      <w:lvlJc w:val="left"/>
      <w:pPr>
        <w:ind w:left="6250" w:hanging="360"/>
      </w:pPr>
      <w:rPr>
        <w:rFonts w:ascii="Courier New" w:hAnsi="Courier New" w:cs="Courier New" w:hint="default"/>
      </w:rPr>
    </w:lvl>
    <w:lvl w:ilvl="8" w:tplc="08130005" w:tentative="1">
      <w:start w:val="1"/>
      <w:numFmt w:val="bullet"/>
      <w:lvlText w:val=""/>
      <w:lvlJc w:val="left"/>
      <w:pPr>
        <w:ind w:left="6970" w:hanging="360"/>
      </w:pPr>
      <w:rPr>
        <w:rFonts w:ascii="Wingdings" w:hAnsi="Wingdings" w:hint="default"/>
      </w:rPr>
    </w:lvl>
  </w:abstractNum>
  <w:abstractNum w:abstractNumId="7" w15:restartNumberingAfterBreak="0">
    <w:nsid w:val="51667586"/>
    <w:multiLevelType w:val="hybridMultilevel"/>
    <w:tmpl w:val="AF3066B4"/>
    <w:lvl w:ilvl="0" w:tplc="29A03570">
      <w:numFmt w:val="bullet"/>
      <w:lvlText w:val="-"/>
      <w:lvlJc w:val="left"/>
      <w:pPr>
        <w:ind w:left="1080" w:hanging="360"/>
      </w:pPr>
      <w:rPr>
        <w:rFonts w:ascii="Calibri" w:eastAsiaTheme="minorHAnsi" w:hAnsi="Calibri"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5509052C"/>
    <w:multiLevelType w:val="multilevel"/>
    <w:tmpl w:val="BD342A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1A2CFB"/>
    <w:multiLevelType w:val="multilevel"/>
    <w:tmpl w:val="86E6B9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1617F"/>
    <w:multiLevelType w:val="multilevel"/>
    <w:tmpl w:val="BD342A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6092387">
    <w:abstractNumId w:val="5"/>
  </w:num>
  <w:num w:numId="2" w16cid:durableId="1115561654">
    <w:abstractNumId w:val="6"/>
  </w:num>
  <w:num w:numId="3" w16cid:durableId="446196993">
    <w:abstractNumId w:val="2"/>
  </w:num>
  <w:num w:numId="4" w16cid:durableId="1658803458">
    <w:abstractNumId w:val="3"/>
  </w:num>
  <w:num w:numId="5" w16cid:durableId="1380981427">
    <w:abstractNumId w:val="9"/>
  </w:num>
  <w:num w:numId="6" w16cid:durableId="906497029">
    <w:abstractNumId w:val="4"/>
  </w:num>
  <w:num w:numId="7" w16cid:durableId="498539798">
    <w:abstractNumId w:val="0"/>
  </w:num>
  <w:num w:numId="8" w16cid:durableId="964001175">
    <w:abstractNumId w:val="7"/>
  </w:num>
  <w:num w:numId="9" w16cid:durableId="1943414366">
    <w:abstractNumId w:val="1"/>
  </w:num>
  <w:num w:numId="10" w16cid:durableId="1528638377">
    <w:abstractNumId w:val="10"/>
  </w:num>
  <w:num w:numId="11" w16cid:durableId="413627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DB"/>
    <w:rsid w:val="00020912"/>
    <w:rsid w:val="00025E5F"/>
    <w:rsid w:val="0007480B"/>
    <w:rsid w:val="00091ED6"/>
    <w:rsid w:val="000D49DB"/>
    <w:rsid w:val="000E374A"/>
    <w:rsid w:val="0015139E"/>
    <w:rsid w:val="001A3FE2"/>
    <w:rsid w:val="001E1D25"/>
    <w:rsid w:val="0020625A"/>
    <w:rsid w:val="00216C3C"/>
    <w:rsid w:val="002242BD"/>
    <w:rsid w:val="00243027"/>
    <w:rsid w:val="00251FB6"/>
    <w:rsid w:val="00254F31"/>
    <w:rsid w:val="00265E24"/>
    <w:rsid w:val="002F33DC"/>
    <w:rsid w:val="00335E1E"/>
    <w:rsid w:val="0034375F"/>
    <w:rsid w:val="00366CB6"/>
    <w:rsid w:val="003A5FF4"/>
    <w:rsid w:val="003B0C10"/>
    <w:rsid w:val="003B4905"/>
    <w:rsid w:val="003C7E36"/>
    <w:rsid w:val="003F227D"/>
    <w:rsid w:val="00412546"/>
    <w:rsid w:val="0042612C"/>
    <w:rsid w:val="00433EB1"/>
    <w:rsid w:val="00456E67"/>
    <w:rsid w:val="004676B0"/>
    <w:rsid w:val="00491126"/>
    <w:rsid w:val="004A2D1F"/>
    <w:rsid w:val="004B295E"/>
    <w:rsid w:val="004E2DA5"/>
    <w:rsid w:val="00517C2D"/>
    <w:rsid w:val="005237C0"/>
    <w:rsid w:val="005440CD"/>
    <w:rsid w:val="00572472"/>
    <w:rsid w:val="0057693B"/>
    <w:rsid w:val="005C1DC5"/>
    <w:rsid w:val="005D0A5E"/>
    <w:rsid w:val="005F6DE6"/>
    <w:rsid w:val="005F7A35"/>
    <w:rsid w:val="00611E07"/>
    <w:rsid w:val="0061563E"/>
    <w:rsid w:val="0063207C"/>
    <w:rsid w:val="00632C5A"/>
    <w:rsid w:val="006466E2"/>
    <w:rsid w:val="00670531"/>
    <w:rsid w:val="0069116B"/>
    <w:rsid w:val="006A329A"/>
    <w:rsid w:val="006C7978"/>
    <w:rsid w:val="0070377F"/>
    <w:rsid w:val="00721D75"/>
    <w:rsid w:val="007257C5"/>
    <w:rsid w:val="00767C15"/>
    <w:rsid w:val="007A2EDC"/>
    <w:rsid w:val="007C446C"/>
    <w:rsid w:val="007C56C4"/>
    <w:rsid w:val="007C7A91"/>
    <w:rsid w:val="00817A61"/>
    <w:rsid w:val="00833001"/>
    <w:rsid w:val="00860A62"/>
    <w:rsid w:val="00862D45"/>
    <w:rsid w:val="00875583"/>
    <w:rsid w:val="00884EA6"/>
    <w:rsid w:val="008D404D"/>
    <w:rsid w:val="008E042C"/>
    <w:rsid w:val="008E6C44"/>
    <w:rsid w:val="00924139"/>
    <w:rsid w:val="00943764"/>
    <w:rsid w:val="00943CD1"/>
    <w:rsid w:val="0096462C"/>
    <w:rsid w:val="00974452"/>
    <w:rsid w:val="009970E5"/>
    <w:rsid w:val="009C2556"/>
    <w:rsid w:val="009E1458"/>
    <w:rsid w:val="009E21BE"/>
    <w:rsid w:val="00A26452"/>
    <w:rsid w:val="00A5793D"/>
    <w:rsid w:val="00AA1651"/>
    <w:rsid w:val="00AE2687"/>
    <w:rsid w:val="00B47B00"/>
    <w:rsid w:val="00B53C44"/>
    <w:rsid w:val="00B63ECF"/>
    <w:rsid w:val="00B71E50"/>
    <w:rsid w:val="00B80A16"/>
    <w:rsid w:val="00B83264"/>
    <w:rsid w:val="00BA06B0"/>
    <w:rsid w:val="00BD45E8"/>
    <w:rsid w:val="00BD7E36"/>
    <w:rsid w:val="00BE463C"/>
    <w:rsid w:val="00C13AF8"/>
    <w:rsid w:val="00C20E41"/>
    <w:rsid w:val="00C4685F"/>
    <w:rsid w:val="00C67838"/>
    <w:rsid w:val="00C8015A"/>
    <w:rsid w:val="00CE3B5C"/>
    <w:rsid w:val="00CF2A39"/>
    <w:rsid w:val="00D0050D"/>
    <w:rsid w:val="00D05D7C"/>
    <w:rsid w:val="00D22B42"/>
    <w:rsid w:val="00D266A5"/>
    <w:rsid w:val="00D529AE"/>
    <w:rsid w:val="00DB4D62"/>
    <w:rsid w:val="00DD55C7"/>
    <w:rsid w:val="00DE19CC"/>
    <w:rsid w:val="00DE2385"/>
    <w:rsid w:val="00E324B7"/>
    <w:rsid w:val="00E3618C"/>
    <w:rsid w:val="00E821F3"/>
    <w:rsid w:val="00EB38E3"/>
    <w:rsid w:val="00ED2051"/>
    <w:rsid w:val="00ED279C"/>
    <w:rsid w:val="00EE4988"/>
    <w:rsid w:val="00EF1C7F"/>
    <w:rsid w:val="00EF5DD7"/>
    <w:rsid w:val="00F112EB"/>
    <w:rsid w:val="00F460F8"/>
    <w:rsid w:val="00F5522D"/>
    <w:rsid w:val="00F5565A"/>
    <w:rsid w:val="00F9613B"/>
    <w:rsid w:val="00FE0C1E"/>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731C"/>
  <w15:chartTrackingRefBased/>
  <w15:docId w15:val="{0B89C90F-9269-4149-94F6-F08ED932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9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fr-FR" w:eastAsia="fr-FR"/>
    </w:rPr>
  </w:style>
  <w:style w:type="paragraph" w:styleId="Heading2">
    <w:name w:val="heading 2"/>
    <w:basedOn w:val="Normal"/>
    <w:next w:val="Normal"/>
    <w:link w:val="Heading2Char"/>
    <w:uiPriority w:val="9"/>
    <w:unhideWhenUsed/>
    <w:qFormat/>
    <w:rsid w:val="000D49D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DB"/>
    <w:rPr>
      <w:rFonts w:asciiTheme="majorHAnsi" w:eastAsiaTheme="majorEastAsia" w:hAnsiTheme="majorHAnsi" w:cstheme="majorBidi"/>
      <w:color w:val="2F5496" w:themeColor="accent1" w:themeShade="BF"/>
      <w:sz w:val="32"/>
      <w:szCs w:val="32"/>
      <w:lang w:val="fr-FR" w:eastAsia="fr-FR"/>
    </w:rPr>
  </w:style>
  <w:style w:type="paragraph" w:styleId="NoSpacing">
    <w:name w:val="No Spacing"/>
    <w:uiPriority w:val="1"/>
    <w:qFormat/>
    <w:rsid w:val="000D49DB"/>
    <w:pPr>
      <w:spacing w:after="0" w:line="240" w:lineRule="auto"/>
    </w:pPr>
    <w:rPr>
      <w:lang w:val="nl-NL"/>
    </w:rPr>
  </w:style>
  <w:style w:type="paragraph" w:styleId="ListParagraph">
    <w:name w:val="List Paragraph"/>
    <w:basedOn w:val="Normal"/>
    <w:uiPriority w:val="34"/>
    <w:qFormat/>
    <w:rsid w:val="000D49DB"/>
    <w:pPr>
      <w:spacing w:after="0" w:line="240" w:lineRule="auto"/>
      <w:ind w:left="720"/>
      <w:contextualSpacing/>
    </w:pPr>
    <w:rPr>
      <w:rFonts w:eastAsiaTheme="minorEastAsia"/>
      <w:sz w:val="24"/>
      <w:szCs w:val="24"/>
      <w:lang w:val="fr-FR" w:eastAsia="fr-FR"/>
    </w:rPr>
  </w:style>
  <w:style w:type="character" w:styleId="CommentReference">
    <w:name w:val="annotation reference"/>
    <w:basedOn w:val="DefaultParagraphFont"/>
    <w:uiPriority w:val="99"/>
    <w:semiHidden/>
    <w:unhideWhenUsed/>
    <w:rsid w:val="000D49DB"/>
    <w:rPr>
      <w:sz w:val="16"/>
      <w:szCs w:val="16"/>
    </w:rPr>
  </w:style>
  <w:style w:type="paragraph" w:styleId="CommentText">
    <w:name w:val="annotation text"/>
    <w:basedOn w:val="Normal"/>
    <w:link w:val="CommentTextChar"/>
    <w:uiPriority w:val="99"/>
    <w:semiHidden/>
    <w:unhideWhenUsed/>
    <w:rsid w:val="000D49DB"/>
    <w:pPr>
      <w:spacing w:line="240" w:lineRule="auto"/>
    </w:pPr>
    <w:rPr>
      <w:sz w:val="20"/>
      <w:szCs w:val="20"/>
    </w:rPr>
  </w:style>
  <w:style w:type="character" w:customStyle="1" w:styleId="CommentTextChar">
    <w:name w:val="Comment Text Char"/>
    <w:basedOn w:val="DefaultParagraphFont"/>
    <w:link w:val="CommentText"/>
    <w:uiPriority w:val="99"/>
    <w:semiHidden/>
    <w:rsid w:val="000D49DB"/>
    <w:rPr>
      <w:sz w:val="20"/>
      <w:szCs w:val="20"/>
    </w:rPr>
  </w:style>
  <w:style w:type="paragraph" w:styleId="CommentSubject">
    <w:name w:val="annotation subject"/>
    <w:basedOn w:val="CommentText"/>
    <w:next w:val="CommentText"/>
    <w:link w:val="CommentSubjectChar"/>
    <w:uiPriority w:val="99"/>
    <w:semiHidden/>
    <w:unhideWhenUsed/>
    <w:rsid w:val="000D49DB"/>
    <w:rPr>
      <w:b/>
      <w:bCs/>
    </w:rPr>
  </w:style>
  <w:style w:type="character" w:customStyle="1" w:styleId="CommentSubjectChar">
    <w:name w:val="Comment Subject Char"/>
    <w:basedOn w:val="CommentTextChar"/>
    <w:link w:val="CommentSubject"/>
    <w:uiPriority w:val="99"/>
    <w:semiHidden/>
    <w:rsid w:val="000D49DB"/>
    <w:rPr>
      <w:b/>
      <w:bCs/>
      <w:sz w:val="20"/>
      <w:szCs w:val="20"/>
    </w:rPr>
  </w:style>
  <w:style w:type="paragraph" w:styleId="BalloonText">
    <w:name w:val="Balloon Text"/>
    <w:basedOn w:val="Normal"/>
    <w:link w:val="BalloonTextChar"/>
    <w:uiPriority w:val="99"/>
    <w:semiHidden/>
    <w:unhideWhenUsed/>
    <w:rsid w:val="000D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DB"/>
    <w:rPr>
      <w:rFonts w:ascii="Segoe UI" w:hAnsi="Segoe UI" w:cs="Segoe UI"/>
      <w:sz w:val="18"/>
      <w:szCs w:val="18"/>
    </w:rPr>
  </w:style>
  <w:style w:type="character" w:customStyle="1" w:styleId="Heading2Char">
    <w:name w:val="Heading 2 Char"/>
    <w:basedOn w:val="DefaultParagraphFont"/>
    <w:link w:val="Heading2"/>
    <w:uiPriority w:val="9"/>
    <w:rsid w:val="000D49DB"/>
    <w:rPr>
      <w:rFonts w:asciiTheme="majorHAnsi" w:eastAsiaTheme="majorEastAsia" w:hAnsiTheme="majorHAnsi" w:cstheme="majorBidi"/>
      <w:color w:val="2F5496" w:themeColor="accent1" w:themeShade="BF"/>
      <w:sz w:val="26"/>
      <w:szCs w:val="26"/>
      <w:lang w:val="fr-FR" w:eastAsia="fr-FR"/>
    </w:rPr>
  </w:style>
  <w:style w:type="paragraph" w:styleId="Revision">
    <w:name w:val="Revision"/>
    <w:hidden/>
    <w:uiPriority w:val="99"/>
    <w:semiHidden/>
    <w:rsid w:val="00A26452"/>
    <w:pPr>
      <w:spacing w:after="0" w:line="240" w:lineRule="auto"/>
    </w:pPr>
  </w:style>
  <w:style w:type="character" w:styleId="Hyperlink">
    <w:name w:val="Hyperlink"/>
    <w:basedOn w:val="DefaultParagraphFont"/>
    <w:uiPriority w:val="99"/>
    <w:unhideWhenUsed/>
    <w:rsid w:val="00572472"/>
    <w:rPr>
      <w:color w:val="0563C1" w:themeColor="hyperlink"/>
      <w:u w:val="single"/>
    </w:rPr>
  </w:style>
  <w:style w:type="paragraph" w:styleId="Header">
    <w:name w:val="header"/>
    <w:basedOn w:val="Normal"/>
    <w:link w:val="HeaderChar"/>
    <w:uiPriority w:val="99"/>
    <w:unhideWhenUsed/>
    <w:rsid w:val="00F460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0F8"/>
  </w:style>
  <w:style w:type="paragraph" w:styleId="Footer">
    <w:name w:val="footer"/>
    <w:basedOn w:val="Normal"/>
    <w:link w:val="FooterChar"/>
    <w:uiPriority w:val="99"/>
    <w:unhideWhenUsed/>
    <w:rsid w:val="00F460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0F8"/>
  </w:style>
  <w:style w:type="character" w:styleId="UnresolvedMention">
    <w:name w:val="Unresolved Mention"/>
    <w:basedOn w:val="DefaultParagraphFont"/>
    <w:uiPriority w:val="99"/>
    <w:semiHidden/>
    <w:unhideWhenUsed/>
    <w:rsid w:val="00151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co.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C973-24B4-4542-90B1-3B203202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2304</Words>
  <Characters>12678</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Goossens</dc:creator>
  <cp:keywords/>
  <dc:description/>
  <cp:lastModifiedBy>Siel Moreels</cp:lastModifiedBy>
  <cp:revision>20</cp:revision>
  <cp:lastPrinted>2025-08-19T14:41:00Z</cp:lastPrinted>
  <dcterms:created xsi:type="dcterms:W3CDTF">2025-06-13T12:34:00Z</dcterms:created>
  <dcterms:modified xsi:type="dcterms:W3CDTF">2025-10-24T09:01:00Z</dcterms:modified>
</cp:coreProperties>
</file>